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4AE8" w14:textId="7331C870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SPIS TREŚCI NR 3/2021 WU </w:t>
      </w:r>
    </w:p>
    <w:p w14:paraId="57E3748F" w14:textId="4BFB862A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0B56C889" w14:textId="1CF5DCB4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Artykuły naukowe:</w:t>
      </w:r>
    </w:p>
    <w:p w14:paraId="6A36769A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70E75C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688019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 Marcin Krzemień, Paweł Wajda - 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Konsekwencje potencjalnej niezgodności </w:t>
      </w:r>
      <w:r w:rsidRPr="00E6658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Metodyki oceny odpowiedniości członków organów podmiotów nadzorowanych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 opublikowanej przez Komisję Nadzoru Finansowego z prawem Unii Europejskiej </w:t>
      </w:r>
    </w:p>
    <w:p w14:paraId="68072A74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F48937" w14:textId="22DA7A02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  Katarzyna Małysa-Sulińska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gramStart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Kwalifikacja</w:t>
      </w:r>
      <w:proofErr w:type="gramEnd"/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 xml:space="preserve"> obiektu budowlanego jako budynku wchodzącego w skład gospodarstwa rolnego w rozumieniu przepisów o obowiązkowym ubezpieczeniu budynków rolniczych</w:t>
      </w: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41410475" w14:textId="1F20AB4D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54D18B" w14:textId="14E8122D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3. Joanna </w:t>
      </w:r>
      <w:proofErr w:type="spellStart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Rutecka-Góra</w:t>
      </w:r>
      <w:proofErr w:type="spellEnd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Edyta Rutkowska-Tomaszewska - </w:t>
      </w:r>
      <w:r w:rsidRPr="00E66582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Oprocentowanie i opłaty oraz zasady ich ustalania i zmian </w:t>
      </w:r>
      <w:r w:rsidRPr="00E66582">
        <w:rPr>
          <w:rFonts w:ascii="Times New Roman" w:hAnsi="Times New Roman" w:cs="Times New Roman"/>
          <w:bdr w:val="none" w:sz="0" w:space="0" w:color="auto" w:frame="1"/>
        </w:rPr>
        <w:t xml:space="preserve">w </w:t>
      </w:r>
      <w:r w:rsidRPr="00E6658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bankowych wzorcach umów o </w:t>
      </w:r>
      <w:r w:rsidRPr="00E66582">
        <w:rPr>
          <w:rFonts w:ascii="Times New Roman" w:hAnsi="Times New Roman" w:cs="Times New Roman"/>
        </w:rPr>
        <w:t xml:space="preserve">indywidualne produkty emerytalne </w:t>
      </w:r>
      <w:r w:rsidRPr="00E6658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w kontekście stosowania w nich n</w:t>
      </w:r>
      <w:r w:rsidRPr="00E66582">
        <w:rPr>
          <w:rFonts w:ascii="Times New Roman" w:hAnsi="Times New Roman" w:cs="Times New Roman"/>
          <w:bdr w:val="none" w:sz="0" w:space="0" w:color="auto" w:frame="1"/>
        </w:rPr>
        <w:t>iedozwolonych klauzul umownych</w:t>
      </w:r>
    </w:p>
    <w:p w14:paraId="2EF7C7EB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BD571D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 Bartosz Kucharski -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 O granicach odszkodowania oraz „kreatywnej księgowości” ubezpieczycieli w umowie ubezpieczenia autocasco</w:t>
      </w:r>
    </w:p>
    <w:p w14:paraId="64C3DE15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2BB0DB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5. Monika </w:t>
      </w:r>
      <w:proofErr w:type="spellStart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Wałachowska</w:t>
      </w:r>
      <w:proofErr w:type="spellEnd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- 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Koszty nieodpłatnej opieki nad poszkodowanym a zakres odpowiedzialności ubezpieczyciela za szkodę na osobie. Uwagi na tle uchwały 7 sędziów Sądu Najwyższego z 22 lipca 2020 roku (sygn. III CZP 31/19)</w:t>
      </w:r>
    </w:p>
    <w:p w14:paraId="2C2CAA9C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99EF79" w14:textId="7303D162" w:rsid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6. Mariusz Zelek -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 Początek biegu trzyletniego terminu przedawnienia roszczenia przeciwko ubezpieczycielowi o naprawienie szkody wyrządzonej czynem niedozwolonym</w:t>
      </w:r>
    </w:p>
    <w:p w14:paraId="74849C20" w14:textId="1E667DD3" w:rsidR="006A157C" w:rsidRDefault="006A157C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F5C76A" w14:textId="454D37CD" w:rsidR="006A157C" w:rsidRPr="00E66582" w:rsidRDefault="006A157C" w:rsidP="00E66582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A157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Glosy:</w:t>
      </w:r>
    </w:p>
    <w:p w14:paraId="5484D5C3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098DC2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7. Mateusz </w:t>
      </w:r>
      <w:proofErr w:type="spellStart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Kosmol</w:t>
      </w:r>
      <w:proofErr w:type="spellEnd"/>
      <w:r w:rsidRPr="00E665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- </w:t>
      </w: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Glosa do uchwały Sądu Najwyższego z dnia 15 lutego 2019 roku (III CZP 84/18) w sprawie kosztów najmu pojazdu zastępczego </w:t>
      </w:r>
    </w:p>
    <w:p w14:paraId="148FFEE1" w14:textId="77777777" w:rsidR="00E66582" w:rsidRPr="00E66582" w:rsidRDefault="00E66582" w:rsidP="00E66582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66582">
        <w:rPr>
          <w:rFonts w:ascii="Times New Roman" w:eastAsia="Times New Roman" w:hAnsi="Times New Roman" w:cs="Times New Roman"/>
          <w:color w:val="000000"/>
          <w:lang w:eastAsia="pl-PL"/>
        </w:rPr>
        <w:t>[Glosa aprobująca]</w:t>
      </w:r>
    </w:p>
    <w:p w14:paraId="00410627" w14:textId="77777777" w:rsidR="007D37DB" w:rsidRPr="00E66582" w:rsidRDefault="006A157C">
      <w:pPr>
        <w:rPr>
          <w:rFonts w:ascii="Times New Roman" w:hAnsi="Times New Roman" w:cs="Times New Roman"/>
        </w:rPr>
      </w:pPr>
    </w:p>
    <w:sectPr w:rsidR="007D37DB" w:rsidRPr="00E66582" w:rsidSect="00C906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82"/>
    <w:rsid w:val="006A157C"/>
    <w:rsid w:val="00854C3C"/>
    <w:rsid w:val="00C90669"/>
    <w:rsid w:val="00D975A0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A0E"/>
  <w15:chartTrackingRefBased/>
  <w15:docId w15:val="{8FBF3F3C-F976-984C-9BFB-8432816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6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1199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2021-12-01T19:27:00Z</dcterms:created>
  <dcterms:modified xsi:type="dcterms:W3CDTF">2021-12-01T19:29:00Z</dcterms:modified>
</cp:coreProperties>
</file>