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1A889" w14:textId="1F91D4A8" w:rsidR="006F7295" w:rsidRPr="00F0314D" w:rsidRDefault="003A474B" w:rsidP="00F0314D">
      <w:pPr>
        <w:pStyle w:val="Heading1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PLAN </w:t>
      </w:r>
      <w:r w:rsidR="00EC4E14" w:rsidRPr="00F0314D">
        <w:rPr>
          <w:rFonts w:asciiTheme="minorHAnsi" w:hAnsiTheme="minorHAnsi" w:cstheme="minorHAnsi"/>
          <w:sz w:val="20"/>
          <w:szCs w:val="20"/>
        </w:rPr>
        <w:t>WYJŚCI</w:t>
      </w:r>
      <w:r>
        <w:rPr>
          <w:rFonts w:asciiTheme="minorHAnsi" w:hAnsiTheme="minorHAnsi" w:cstheme="minorHAnsi"/>
          <w:sz w:val="20"/>
          <w:szCs w:val="20"/>
        </w:rPr>
        <w:t>A</w:t>
      </w:r>
      <w:r w:rsidR="00EC4E14" w:rsidRPr="00F0314D">
        <w:rPr>
          <w:rFonts w:asciiTheme="minorHAnsi" w:hAnsiTheme="minorHAnsi" w:cstheme="minorHAnsi"/>
          <w:sz w:val="20"/>
          <w:szCs w:val="20"/>
        </w:rPr>
        <w:t xml:space="preserve"> Z CHMURY</w:t>
      </w:r>
      <w:r w:rsidR="0016559F">
        <w:rPr>
          <w:rFonts w:asciiTheme="minorHAnsi" w:hAnsiTheme="minorHAnsi" w:cstheme="minorHAnsi"/>
          <w:sz w:val="20"/>
          <w:szCs w:val="20"/>
        </w:rPr>
        <w:t xml:space="preserve"> OBLICZENIOWEJ</w:t>
      </w:r>
      <w:r w:rsidR="00EC4E14" w:rsidRPr="00F0314D">
        <w:rPr>
          <w:rFonts w:asciiTheme="minorHAnsi" w:hAnsiTheme="minorHAnsi" w:cstheme="minorHAnsi"/>
          <w:sz w:val="20"/>
          <w:szCs w:val="20"/>
        </w:rPr>
        <w:t xml:space="preserve"> - GŁÓWNE ZAGADNIENIA</w:t>
      </w:r>
    </w:p>
    <w:p w14:paraId="11655818" w14:textId="77F145D7" w:rsidR="004D19EE" w:rsidRPr="00920CB1" w:rsidRDefault="004D19EE" w:rsidP="00ED3AA5">
      <w:pPr>
        <w:pStyle w:val="Heading2"/>
        <w:numPr>
          <w:ilvl w:val="0"/>
          <w:numId w:val="0"/>
        </w:numPr>
        <w:spacing w:after="0"/>
        <w:rPr>
          <w:rFonts w:cstheme="minorHAnsi"/>
        </w:rPr>
      </w:pPr>
      <w:r w:rsidRPr="00ED3AA5">
        <w:rPr>
          <w:rFonts w:asciiTheme="minorHAnsi" w:hAnsiTheme="minorHAnsi" w:cstheme="minorHAnsi"/>
        </w:rPr>
        <w:t>WSTĘP</w:t>
      </w:r>
    </w:p>
    <w:p w14:paraId="4FAB7FB6" w14:textId="5D68E4CD" w:rsidR="007D7016" w:rsidRPr="00F0314D" w:rsidRDefault="006A7C2F" w:rsidP="007D701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zależności od </w:t>
      </w:r>
      <w:r w:rsidR="003A474B">
        <w:rPr>
          <w:rFonts w:cstheme="minorHAnsi"/>
          <w:sz w:val="20"/>
          <w:szCs w:val="20"/>
        </w:rPr>
        <w:t xml:space="preserve">procesu oraz </w:t>
      </w:r>
      <w:r w:rsidR="0086296A">
        <w:rPr>
          <w:rFonts w:cstheme="minorHAnsi"/>
          <w:sz w:val="20"/>
          <w:szCs w:val="20"/>
        </w:rPr>
        <w:t>Modelu u</w:t>
      </w:r>
      <w:r w:rsidR="003A474B">
        <w:rPr>
          <w:rFonts w:cstheme="minorHAnsi"/>
          <w:sz w:val="20"/>
          <w:szCs w:val="20"/>
        </w:rPr>
        <w:t xml:space="preserve">sługi chmury obliczeniowej należy opracować odpowiedni plan wyjścia z </w:t>
      </w:r>
      <w:r w:rsidR="00920CB1">
        <w:rPr>
          <w:rFonts w:cstheme="minorHAnsi"/>
          <w:sz w:val="20"/>
          <w:szCs w:val="20"/>
        </w:rPr>
        <w:t>U</w:t>
      </w:r>
      <w:r w:rsidR="003A474B">
        <w:rPr>
          <w:rFonts w:cstheme="minorHAnsi"/>
          <w:sz w:val="20"/>
          <w:szCs w:val="20"/>
        </w:rPr>
        <w:t>sługi chmury obliczeniowej. Poniżej zostały przedstawione zagadnienia, na które w zależności od sytuacji należy zwrócić</w:t>
      </w:r>
      <w:r w:rsidR="007B25BF">
        <w:rPr>
          <w:rFonts w:cstheme="minorHAnsi"/>
          <w:sz w:val="20"/>
          <w:szCs w:val="20"/>
        </w:rPr>
        <w:t xml:space="preserve"> uwagę przy opracowywaniu planu wyjścia z chmury</w:t>
      </w:r>
      <w:r w:rsidR="00920CB1">
        <w:rPr>
          <w:rFonts w:cstheme="minorHAnsi"/>
          <w:sz w:val="20"/>
          <w:szCs w:val="20"/>
        </w:rPr>
        <w:t xml:space="preserve"> obliczeniowej</w:t>
      </w:r>
      <w:r w:rsidR="007B25BF">
        <w:rPr>
          <w:rFonts w:cstheme="minorHAnsi"/>
          <w:sz w:val="20"/>
          <w:szCs w:val="20"/>
        </w:rPr>
        <w:t xml:space="preserve">. W przypadku procesów wspomagających działalność ubezpieczeniową, których wyłączenie nie będzie miało istotnego wpływu na prowadzoną działalność poniższe zagadnienia mogą nie mieć zastosowania. </w:t>
      </w:r>
      <w:r w:rsidR="003A474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</w:p>
    <w:p w14:paraId="014F5159" w14:textId="77777777" w:rsidR="006F7295" w:rsidRPr="00F0314D" w:rsidRDefault="00072E1E" w:rsidP="007D7016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F0314D">
        <w:rPr>
          <w:rFonts w:asciiTheme="minorHAnsi" w:hAnsiTheme="minorHAnsi" w:cstheme="minorHAnsi"/>
          <w:sz w:val="20"/>
          <w:szCs w:val="20"/>
        </w:rPr>
        <w:t>Rozdział I</w:t>
      </w:r>
      <w:r w:rsidR="003D3A65" w:rsidRPr="00F031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F069D8" w14:textId="77777777" w:rsidR="002373BD" w:rsidRPr="00F0314D" w:rsidRDefault="002703F7" w:rsidP="00E52194">
      <w:pPr>
        <w:pStyle w:val="Heading2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  <w:r w:rsidRPr="00F0314D">
        <w:rPr>
          <w:rFonts w:asciiTheme="minorHAnsi" w:hAnsiTheme="minorHAnsi" w:cstheme="minorHAnsi"/>
        </w:rPr>
        <w:t>Plan w</w:t>
      </w:r>
      <w:r w:rsidR="00E22C7F" w:rsidRPr="00F0314D">
        <w:rPr>
          <w:rFonts w:asciiTheme="minorHAnsi" w:hAnsiTheme="minorHAnsi" w:cstheme="minorHAnsi"/>
        </w:rPr>
        <w:t>ycofani</w:t>
      </w:r>
      <w:r w:rsidRPr="00F0314D">
        <w:rPr>
          <w:rFonts w:asciiTheme="minorHAnsi" w:hAnsiTheme="minorHAnsi" w:cstheme="minorHAnsi"/>
        </w:rPr>
        <w:t>a</w:t>
      </w:r>
      <w:r w:rsidR="00E22C7F" w:rsidRPr="00F0314D">
        <w:rPr>
          <w:rFonts w:asciiTheme="minorHAnsi" w:hAnsiTheme="minorHAnsi" w:cstheme="minorHAnsi"/>
        </w:rPr>
        <w:t xml:space="preserve"> usługi</w:t>
      </w:r>
    </w:p>
    <w:p w14:paraId="54196B3F" w14:textId="77777777" w:rsidR="00E52194" w:rsidRPr="00F0314D" w:rsidRDefault="00E52194" w:rsidP="00E52194">
      <w:pPr>
        <w:spacing w:after="0"/>
        <w:rPr>
          <w:rFonts w:cstheme="minorHAnsi"/>
          <w:sz w:val="20"/>
          <w:szCs w:val="20"/>
          <w:lang w:eastAsia="el-GR"/>
        </w:rPr>
      </w:pPr>
    </w:p>
    <w:p w14:paraId="6E3424C7" w14:textId="77777777" w:rsidR="009633B1" w:rsidRPr="00F0314D" w:rsidRDefault="009633B1" w:rsidP="00E52194">
      <w:pPr>
        <w:pStyle w:val="Heading2"/>
        <w:spacing w:before="0"/>
        <w:rPr>
          <w:rFonts w:asciiTheme="minorHAnsi" w:hAnsiTheme="minorHAnsi" w:cstheme="minorHAnsi"/>
        </w:rPr>
      </w:pPr>
      <w:r w:rsidRPr="00F0314D">
        <w:rPr>
          <w:rFonts w:asciiTheme="minorHAnsi" w:hAnsiTheme="minorHAnsi" w:cstheme="minorHAnsi"/>
        </w:rPr>
        <w:t xml:space="preserve">Scenariusze wycofania </w:t>
      </w:r>
    </w:p>
    <w:p w14:paraId="6173DEC7" w14:textId="20EFF7A2" w:rsidR="00AF7AD6" w:rsidRPr="00F0314D" w:rsidRDefault="009633B1" w:rsidP="0087408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Należy określić przewidywane scenariusze wycofania dla usługi np. migracja on premise, </w:t>
      </w:r>
      <w:r w:rsidR="00AF7AD6" w:rsidRPr="00F0314D">
        <w:rPr>
          <w:rFonts w:eastAsia="Times New Roman" w:cstheme="minorHAnsi"/>
          <w:sz w:val="20"/>
          <w:szCs w:val="20"/>
          <w:lang w:eastAsia="el-GR"/>
        </w:rPr>
        <w:t xml:space="preserve">zmiana </w:t>
      </w:r>
      <w:r w:rsidR="00DD711B">
        <w:rPr>
          <w:rFonts w:eastAsia="Times New Roman" w:cstheme="minorHAnsi"/>
          <w:sz w:val="20"/>
          <w:szCs w:val="20"/>
          <w:lang w:eastAsia="el-GR"/>
        </w:rPr>
        <w:t>D</w:t>
      </w:r>
      <w:r w:rsidR="00AF7AD6" w:rsidRPr="00F0314D">
        <w:rPr>
          <w:rFonts w:eastAsia="Times New Roman" w:cstheme="minorHAnsi"/>
          <w:sz w:val="20"/>
          <w:szCs w:val="20"/>
          <w:lang w:eastAsia="el-GR"/>
        </w:rPr>
        <w:t>ostawcy</w:t>
      </w:r>
      <w:r w:rsidR="00920CB1">
        <w:rPr>
          <w:rFonts w:eastAsia="Times New Roman" w:cstheme="minorHAnsi"/>
          <w:sz w:val="20"/>
          <w:szCs w:val="20"/>
          <w:lang w:eastAsia="el-GR"/>
        </w:rPr>
        <w:t xml:space="preserve"> usług chmury obliczeniowej,</w:t>
      </w:r>
      <w:r w:rsidR="00AF7AD6" w:rsidRPr="00F0314D">
        <w:rPr>
          <w:rFonts w:eastAsia="Times New Roman" w:cstheme="minorHAnsi"/>
          <w:sz w:val="20"/>
          <w:szCs w:val="20"/>
          <w:lang w:eastAsia="el-GR"/>
        </w:rPr>
        <w:t xml:space="preserve"> etc. </w:t>
      </w:r>
    </w:p>
    <w:p w14:paraId="35365521" w14:textId="38980002" w:rsidR="009F31FB" w:rsidRDefault="00AF7AD6" w:rsidP="0087408A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>Dopuszczalne jest określenie alternatywnych scenariuszy w zależn</w:t>
      </w:r>
      <w:r w:rsidR="006A7C2F">
        <w:rPr>
          <w:rFonts w:eastAsia="Times New Roman" w:cstheme="minorHAnsi"/>
          <w:sz w:val="20"/>
          <w:szCs w:val="20"/>
          <w:lang w:eastAsia="el-GR"/>
        </w:rPr>
        <w:t>ości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od sytuacji – np. nagłe zaprzestanie świadczenia</w:t>
      </w:r>
      <w:r w:rsidRPr="00F0314D">
        <w:rPr>
          <w:rFonts w:cstheme="minorHAnsi"/>
          <w:sz w:val="20"/>
          <w:szCs w:val="20"/>
        </w:rPr>
        <w:t xml:space="preserve"> usługi, rezygnacja z usługi po zakończeniu kontraktu, etc.</w:t>
      </w:r>
      <w:r w:rsidR="009633B1" w:rsidRPr="00F0314D">
        <w:rPr>
          <w:rFonts w:cstheme="minorHAnsi"/>
          <w:sz w:val="20"/>
          <w:szCs w:val="20"/>
        </w:rPr>
        <w:t xml:space="preserve"> </w:t>
      </w:r>
    </w:p>
    <w:p w14:paraId="749506F4" w14:textId="627A2FC8" w:rsidR="009E7E79" w:rsidRPr="00F0314D" w:rsidRDefault="009E7E79" w:rsidP="0087408A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Scenariusze wycofania mogą być testowane m.in. w ramach gry sztabowej.</w:t>
      </w:r>
    </w:p>
    <w:p w14:paraId="006CAEDB" w14:textId="3A451170" w:rsidR="00AF7AD6" w:rsidRPr="00F0314D" w:rsidRDefault="00AF7AD6" w:rsidP="00E52194">
      <w:pPr>
        <w:pStyle w:val="Heading2"/>
        <w:rPr>
          <w:rFonts w:asciiTheme="minorHAnsi" w:hAnsiTheme="minorHAnsi" w:cstheme="minorHAnsi"/>
        </w:rPr>
      </w:pPr>
      <w:r w:rsidRPr="00F0314D">
        <w:rPr>
          <w:rFonts w:asciiTheme="minorHAnsi" w:hAnsiTheme="minorHAnsi" w:cstheme="minorHAnsi"/>
        </w:rPr>
        <w:t>Wpływ zmiany na organizacj</w:t>
      </w:r>
      <w:r w:rsidR="006A7C2F">
        <w:rPr>
          <w:rFonts w:asciiTheme="minorHAnsi" w:hAnsiTheme="minorHAnsi" w:cstheme="minorHAnsi"/>
        </w:rPr>
        <w:t>Ę</w:t>
      </w:r>
      <w:r w:rsidRPr="00F0314D">
        <w:rPr>
          <w:rFonts w:asciiTheme="minorHAnsi" w:hAnsiTheme="minorHAnsi" w:cstheme="minorHAnsi"/>
        </w:rPr>
        <w:t xml:space="preserve"> </w:t>
      </w:r>
    </w:p>
    <w:p w14:paraId="647CAF32" w14:textId="45373C8E" w:rsidR="009633B1" w:rsidRPr="00F0314D" w:rsidRDefault="00AF7AD6" w:rsidP="0087408A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>Należy opisać wpływ zmiany na organizacj</w:t>
      </w:r>
      <w:r w:rsidR="006A7C2F">
        <w:rPr>
          <w:rFonts w:eastAsia="Times New Roman" w:cstheme="minorHAnsi"/>
          <w:sz w:val="20"/>
          <w:szCs w:val="20"/>
          <w:lang w:eastAsia="el-GR"/>
        </w:rPr>
        <w:t>ę</w:t>
      </w:r>
      <w:r w:rsidRPr="00F0314D">
        <w:rPr>
          <w:rFonts w:eastAsia="Times New Roman" w:cstheme="minorHAnsi"/>
          <w:sz w:val="20"/>
          <w:szCs w:val="20"/>
          <w:lang w:eastAsia="el-GR"/>
        </w:rPr>
        <w:t>, tj. zmiany w procesach krytycznych, wpływ na zasoby ludzkie i strukturę organizacyjną, wymagania szkoleniowe, etc</w:t>
      </w:r>
      <w:r w:rsidR="00775960">
        <w:rPr>
          <w:rFonts w:eastAsia="Times New Roman" w:cstheme="minorHAnsi"/>
          <w:sz w:val="20"/>
          <w:szCs w:val="20"/>
          <w:lang w:eastAsia="el-GR"/>
        </w:rPr>
        <w:t>.</w:t>
      </w:r>
    </w:p>
    <w:p w14:paraId="1E59EE61" w14:textId="227FFF34" w:rsidR="00AF7AD6" w:rsidRPr="00F0314D" w:rsidRDefault="00AF7AD6" w:rsidP="00E52194">
      <w:pPr>
        <w:pStyle w:val="Heading2"/>
        <w:rPr>
          <w:rFonts w:asciiTheme="minorHAnsi" w:hAnsiTheme="minorHAnsi" w:cstheme="minorHAnsi"/>
        </w:rPr>
      </w:pPr>
      <w:r w:rsidRPr="00F0314D">
        <w:rPr>
          <w:rFonts w:asciiTheme="minorHAnsi" w:hAnsiTheme="minorHAnsi" w:cstheme="minorHAnsi"/>
        </w:rPr>
        <w:t xml:space="preserve">Opis </w:t>
      </w:r>
      <w:r w:rsidR="009F31FB" w:rsidRPr="00F0314D">
        <w:rPr>
          <w:rFonts w:asciiTheme="minorHAnsi" w:hAnsiTheme="minorHAnsi" w:cstheme="minorHAnsi"/>
        </w:rPr>
        <w:t xml:space="preserve">transferu </w:t>
      </w:r>
      <w:r w:rsidRPr="00F0314D">
        <w:rPr>
          <w:rFonts w:asciiTheme="minorHAnsi" w:hAnsiTheme="minorHAnsi" w:cstheme="minorHAnsi"/>
        </w:rPr>
        <w:t xml:space="preserve">usługi </w:t>
      </w:r>
      <w:r w:rsidR="0016559F">
        <w:rPr>
          <w:rFonts w:asciiTheme="minorHAnsi" w:hAnsiTheme="minorHAnsi" w:cstheme="minorHAnsi"/>
        </w:rPr>
        <w:t xml:space="preserve">CHMURY OBLICZENIOWEJ </w:t>
      </w:r>
      <w:r w:rsidRPr="00F0314D">
        <w:rPr>
          <w:rFonts w:asciiTheme="minorHAnsi" w:hAnsiTheme="minorHAnsi" w:cstheme="minorHAnsi"/>
        </w:rPr>
        <w:t xml:space="preserve">oraz danych </w:t>
      </w:r>
    </w:p>
    <w:p w14:paraId="7B1ABCAD" w14:textId="0C65D0B9" w:rsidR="00AF7AD6" w:rsidRPr="00F0314D" w:rsidRDefault="0016559F" w:rsidP="0087408A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 xml:space="preserve">Przez opis transferu </w:t>
      </w:r>
      <w:r w:rsidR="00027779">
        <w:rPr>
          <w:rFonts w:eastAsia="Times New Roman" w:cstheme="minorHAnsi"/>
          <w:sz w:val="20"/>
          <w:szCs w:val="20"/>
          <w:lang w:eastAsia="el-GR"/>
        </w:rPr>
        <w:t>U</w:t>
      </w:r>
      <w:r>
        <w:rPr>
          <w:rFonts w:eastAsia="Times New Roman" w:cstheme="minorHAnsi"/>
          <w:sz w:val="20"/>
          <w:szCs w:val="20"/>
          <w:lang w:eastAsia="el-GR"/>
        </w:rPr>
        <w:t>sługi chmury obliczeniowej oraz danych należy rozumieć w</w:t>
      </w:r>
      <w:r w:rsidR="00AF7AD6" w:rsidRPr="00F0314D">
        <w:rPr>
          <w:rFonts w:eastAsia="Times New Roman" w:cstheme="minorHAnsi"/>
          <w:sz w:val="20"/>
          <w:szCs w:val="20"/>
          <w:lang w:eastAsia="el-GR"/>
        </w:rPr>
        <w:t xml:space="preserve">ysokopoziomowy opis procesu migracji </w:t>
      </w:r>
      <w:r w:rsidR="00C26EA4">
        <w:rPr>
          <w:rFonts w:eastAsia="Times New Roman" w:cstheme="minorHAnsi"/>
          <w:sz w:val="20"/>
          <w:szCs w:val="20"/>
          <w:lang w:eastAsia="el-GR"/>
        </w:rPr>
        <w:t>U</w:t>
      </w:r>
      <w:r w:rsidR="00AF7AD6" w:rsidRPr="00F0314D">
        <w:rPr>
          <w:rFonts w:eastAsia="Times New Roman" w:cstheme="minorHAnsi"/>
          <w:sz w:val="20"/>
          <w:szCs w:val="20"/>
          <w:lang w:eastAsia="el-GR"/>
        </w:rPr>
        <w:t xml:space="preserve">sługi </w:t>
      </w:r>
      <w:r w:rsidR="00C26EA4">
        <w:rPr>
          <w:rFonts w:eastAsia="Times New Roman" w:cstheme="minorHAnsi"/>
          <w:sz w:val="20"/>
          <w:szCs w:val="20"/>
          <w:lang w:eastAsia="el-GR"/>
        </w:rPr>
        <w:t xml:space="preserve">chmury obliczeniowej </w:t>
      </w:r>
      <w:r w:rsidR="00AF7AD6" w:rsidRPr="00F0314D">
        <w:rPr>
          <w:rFonts w:eastAsia="Times New Roman" w:cstheme="minorHAnsi"/>
          <w:sz w:val="20"/>
          <w:szCs w:val="20"/>
          <w:lang w:eastAsia="el-GR"/>
        </w:rPr>
        <w:t>oraz danych, wymaganych narzędzi etc.</w:t>
      </w:r>
    </w:p>
    <w:p w14:paraId="4BC536F4" w14:textId="2DC7BF39" w:rsidR="009F31FB" w:rsidRPr="00F0314D" w:rsidRDefault="009F31FB" w:rsidP="0087408A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Transfer </w:t>
      </w:r>
      <w:r w:rsidR="00C26EA4">
        <w:rPr>
          <w:rFonts w:eastAsia="Times New Roman" w:cstheme="minorHAnsi"/>
          <w:sz w:val="20"/>
          <w:szCs w:val="20"/>
          <w:lang w:eastAsia="el-GR"/>
        </w:rPr>
        <w:t>U</w:t>
      </w:r>
      <w:r w:rsidRPr="00F0314D">
        <w:rPr>
          <w:rFonts w:eastAsia="Times New Roman" w:cstheme="minorHAnsi"/>
          <w:sz w:val="20"/>
          <w:szCs w:val="20"/>
          <w:lang w:eastAsia="el-GR"/>
        </w:rPr>
        <w:t>sług</w:t>
      </w:r>
      <w:r w:rsidR="00C26EA4">
        <w:rPr>
          <w:rFonts w:eastAsia="Times New Roman" w:cstheme="minorHAnsi"/>
          <w:sz w:val="20"/>
          <w:szCs w:val="20"/>
          <w:lang w:eastAsia="el-GR"/>
        </w:rPr>
        <w:t xml:space="preserve"> chmury obliczeniowej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to całokształt działań (w tym czynności prawnych) prowadzących do zwrotu </w:t>
      </w:r>
      <w:r w:rsidR="00920CB1">
        <w:rPr>
          <w:rFonts w:eastAsia="Times New Roman" w:cstheme="minorHAnsi"/>
          <w:sz w:val="20"/>
          <w:szCs w:val="20"/>
          <w:lang w:eastAsia="el-GR"/>
        </w:rPr>
        <w:t xml:space="preserve">Zakładowi Ubezpieczeń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sprzętu </w:t>
      </w:r>
      <w:r w:rsidR="00920CB1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, oprogramowania </w:t>
      </w:r>
      <w:r w:rsidR="00920CB1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, całości przetwarzanych na zlecenie </w:t>
      </w:r>
      <w:r w:rsidR="00920CB1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="00920CB1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Danych </w:t>
      </w:r>
      <w:r w:rsidR="00920CB1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="00920CB1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oraz w zależności od okoliczności prawnych, przeniesienia na </w:t>
      </w:r>
      <w:r w:rsidR="00C26EA4">
        <w:rPr>
          <w:rFonts w:eastAsia="Times New Roman" w:cstheme="minorHAnsi"/>
          <w:sz w:val="20"/>
          <w:szCs w:val="20"/>
          <w:lang w:eastAsia="el-GR"/>
        </w:rPr>
        <w:t>Zakład Ubezpieczeń</w:t>
      </w:r>
      <w:r w:rsidR="00C26EA4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umów z osobami trzecimi wymaganych do realizacji </w:t>
      </w:r>
      <w:r w:rsidR="00DD711B">
        <w:rPr>
          <w:rFonts w:eastAsia="Times New Roman" w:cstheme="minorHAnsi"/>
          <w:sz w:val="20"/>
          <w:szCs w:val="20"/>
          <w:lang w:eastAsia="el-GR"/>
        </w:rPr>
        <w:t>u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sług zdefiniowanych w Umowie, w sposób gwarantujący nieprzerwaną realizację </w:t>
      </w:r>
      <w:r w:rsidR="00C26EA4">
        <w:rPr>
          <w:rFonts w:eastAsia="Times New Roman" w:cstheme="minorHAnsi"/>
          <w:sz w:val="20"/>
          <w:szCs w:val="20"/>
          <w:lang w:eastAsia="el-GR"/>
        </w:rPr>
        <w:t>U</w:t>
      </w:r>
      <w:r w:rsidRPr="00F0314D">
        <w:rPr>
          <w:rFonts w:eastAsia="Times New Roman" w:cstheme="minorHAnsi"/>
          <w:sz w:val="20"/>
          <w:szCs w:val="20"/>
          <w:lang w:eastAsia="el-GR"/>
        </w:rPr>
        <w:t>sług</w:t>
      </w:r>
      <w:r w:rsidR="00C26EA4">
        <w:rPr>
          <w:rFonts w:eastAsia="Times New Roman" w:cstheme="minorHAnsi"/>
          <w:sz w:val="20"/>
          <w:szCs w:val="20"/>
          <w:lang w:eastAsia="el-GR"/>
        </w:rPr>
        <w:t xml:space="preserve"> chmury obliczeniowej</w:t>
      </w:r>
      <w:r w:rsidRPr="00F0314D">
        <w:rPr>
          <w:rFonts w:eastAsia="Times New Roman" w:cstheme="minorHAnsi"/>
          <w:sz w:val="20"/>
          <w:szCs w:val="20"/>
          <w:lang w:eastAsia="el-GR"/>
        </w:rPr>
        <w:t>.</w:t>
      </w:r>
    </w:p>
    <w:p w14:paraId="67D9FD17" w14:textId="77777777" w:rsidR="00AF7AD6" w:rsidRPr="00F0314D" w:rsidRDefault="008A20C9" w:rsidP="003D3A65">
      <w:pPr>
        <w:pStyle w:val="Heading2"/>
        <w:rPr>
          <w:rFonts w:asciiTheme="minorHAnsi" w:hAnsiTheme="minorHAnsi" w:cstheme="minorHAnsi"/>
        </w:rPr>
      </w:pPr>
      <w:r w:rsidRPr="00F0314D">
        <w:rPr>
          <w:rFonts w:asciiTheme="minorHAnsi" w:hAnsiTheme="minorHAnsi" w:cstheme="minorHAnsi"/>
        </w:rPr>
        <w:t>S</w:t>
      </w:r>
      <w:r w:rsidR="00AF7AD6" w:rsidRPr="00F0314D">
        <w:rPr>
          <w:rFonts w:asciiTheme="minorHAnsi" w:hAnsiTheme="minorHAnsi" w:cstheme="minorHAnsi"/>
        </w:rPr>
        <w:t xml:space="preserve">cenariusze testowe wycofania i kryteria akceptacji </w:t>
      </w:r>
    </w:p>
    <w:p w14:paraId="30CF3C04" w14:textId="62FFC9FB" w:rsidR="008A20C9" w:rsidRPr="00F0314D" w:rsidRDefault="0016559F" w:rsidP="0087408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Zakład Ubezpieczeń powinien opracować s</w:t>
      </w:r>
      <w:r w:rsidR="008A20C9" w:rsidRPr="00F0314D">
        <w:rPr>
          <w:rFonts w:eastAsia="Times New Roman" w:cstheme="minorHAnsi"/>
          <w:sz w:val="20"/>
          <w:szCs w:val="20"/>
          <w:lang w:eastAsia="el-GR"/>
        </w:rPr>
        <w:t>cenariusze testowe dla procesów migracji</w:t>
      </w:r>
      <w:r>
        <w:rPr>
          <w:rFonts w:eastAsia="Times New Roman" w:cstheme="minorHAnsi"/>
          <w:sz w:val="20"/>
          <w:szCs w:val="20"/>
          <w:lang w:eastAsia="el-GR"/>
        </w:rPr>
        <w:t>.</w:t>
      </w:r>
    </w:p>
    <w:p w14:paraId="193E2512" w14:textId="70A23C49" w:rsidR="009F31FB" w:rsidRPr="00F0314D" w:rsidRDefault="00920CB1" w:rsidP="0087408A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el-GR"/>
        </w:rPr>
        <w:t>Zakład Ubezpieczeń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wraz z Dostawcą </w:t>
      </w:r>
      <w:r>
        <w:rPr>
          <w:rFonts w:eastAsia="Times New Roman" w:cstheme="minorHAnsi"/>
          <w:sz w:val="20"/>
          <w:szCs w:val="20"/>
          <w:lang w:eastAsia="el-GR"/>
        </w:rPr>
        <w:t xml:space="preserve">usług chmury obliczeniowej 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>jest</w:t>
      </w:r>
      <w:r w:rsidR="009F31FB" w:rsidRPr="00F0314D">
        <w:rPr>
          <w:rFonts w:cstheme="minorHAnsi"/>
          <w:sz w:val="20"/>
          <w:szCs w:val="20"/>
        </w:rPr>
        <w:t xml:space="preserve"> zobowiązany do wykonywania</w:t>
      </w:r>
      <w:r w:rsidR="00EC4E14" w:rsidRPr="00F0314D">
        <w:rPr>
          <w:rFonts w:cstheme="minorHAnsi"/>
          <w:sz w:val="20"/>
          <w:szCs w:val="20"/>
        </w:rPr>
        <w:t xml:space="preserve"> </w:t>
      </w:r>
      <w:r w:rsidR="009F31FB" w:rsidRPr="00F0314D">
        <w:rPr>
          <w:rFonts w:cstheme="minorHAnsi"/>
          <w:sz w:val="20"/>
          <w:szCs w:val="20"/>
        </w:rPr>
        <w:t>testów Planu Wyjścia</w:t>
      </w:r>
      <w:r w:rsidR="0016559F">
        <w:rPr>
          <w:rFonts w:cstheme="minorHAnsi"/>
          <w:sz w:val="20"/>
          <w:szCs w:val="20"/>
        </w:rPr>
        <w:t>.</w:t>
      </w:r>
    </w:p>
    <w:p w14:paraId="0020DF30" w14:textId="77777777" w:rsidR="00AE28BD" w:rsidRPr="00F0314D" w:rsidRDefault="0024384F" w:rsidP="003D3A65">
      <w:pPr>
        <w:pStyle w:val="Heading2"/>
        <w:rPr>
          <w:rFonts w:asciiTheme="minorHAnsi" w:hAnsiTheme="minorHAnsi" w:cstheme="minorHAnsi"/>
        </w:rPr>
      </w:pPr>
      <w:r w:rsidRPr="00F0314D">
        <w:rPr>
          <w:rFonts w:asciiTheme="minorHAnsi" w:hAnsiTheme="minorHAnsi" w:cstheme="minorHAnsi"/>
        </w:rPr>
        <w:t>Backup danych</w:t>
      </w:r>
      <w:r w:rsidR="00CD12EE" w:rsidRPr="00F0314D">
        <w:rPr>
          <w:rFonts w:asciiTheme="minorHAnsi" w:hAnsiTheme="minorHAnsi" w:cstheme="minorHAnsi"/>
        </w:rPr>
        <w:t xml:space="preserve"> </w:t>
      </w:r>
      <w:r w:rsidR="00437F8A" w:rsidRPr="00F0314D">
        <w:rPr>
          <w:rFonts w:asciiTheme="minorHAnsi" w:hAnsiTheme="minorHAnsi" w:cstheme="minorHAnsi"/>
        </w:rPr>
        <w:t>i czasy migracji</w:t>
      </w:r>
    </w:p>
    <w:p w14:paraId="081ED808" w14:textId="05305580" w:rsidR="003E66FF" w:rsidRPr="00F0314D" w:rsidRDefault="00FF6659" w:rsidP="0087408A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Należy oszacować czas </w:t>
      </w:r>
      <w:r w:rsidR="004B7ED1" w:rsidRPr="00F0314D">
        <w:rPr>
          <w:rFonts w:eastAsia="Times New Roman" w:cstheme="minorHAnsi"/>
          <w:sz w:val="20"/>
          <w:szCs w:val="20"/>
          <w:lang w:eastAsia="el-GR"/>
        </w:rPr>
        <w:t xml:space="preserve">potrzebny na przygotowanie projektu przełączenia, uruchomienia prac operacyjnych, uzyskaniu odpowiednich zgód i poinformowanie użytkowników </w:t>
      </w:r>
      <w:r w:rsidR="006A227C">
        <w:rPr>
          <w:rFonts w:eastAsia="Times New Roman" w:cstheme="minorHAnsi"/>
          <w:sz w:val="20"/>
          <w:szCs w:val="20"/>
          <w:lang w:eastAsia="el-GR"/>
        </w:rPr>
        <w:t>U</w:t>
      </w:r>
      <w:r w:rsidR="004B7ED1" w:rsidRPr="00F0314D">
        <w:rPr>
          <w:rFonts w:eastAsia="Times New Roman" w:cstheme="minorHAnsi"/>
          <w:sz w:val="20"/>
          <w:szCs w:val="20"/>
          <w:lang w:eastAsia="el-GR"/>
        </w:rPr>
        <w:t xml:space="preserve">sługi </w:t>
      </w:r>
      <w:r w:rsidR="006A227C">
        <w:rPr>
          <w:rFonts w:eastAsia="Times New Roman" w:cstheme="minorHAnsi"/>
          <w:sz w:val="20"/>
          <w:szCs w:val="20"/>
          <w:lang w:eastAsia="el-GR"/>
        </w:rPr>
        <w:t xml:space="preserve">chmury obliczeniowej </w:t>
      </w:r>
      <w:r w:rsidR="004B7ED1" w:rsidRPr="00F0314D">
        <w:rPr>
          <w:rFonts w:eastAsia="Times New Roman" w:cstheme="minorHAnsi"/>
          <w:sz w:val="20"/>
          <w:szCs w:val="20"/>
          <w:lang w:eastAsia="el-GR"/>
        </w:rPr>
        <w:t xml:space="preserve">o planowanym przełączeniu. </w:t>
      </w:r>
    </w:p>
    <w:p w14:paraId="2252691A" w14:textId="2A4CAFB9" w:rsidR="00157F7B" w:rsidRPr="00F0314D" w:rsidRDefault="0016559F" w:rsidP="0087408A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Konieczne jest o</w:t>
      </w:r>
      <w:r w:rsidR="003450BE" w:rsidRPr="00F0314D">
        <w:rPr>
          <w:rFonts w:eastAsia="Times New Roman" w:cstheme="minorHAnsi"/>
          <w:sz w:val="20"/>
          <w:szCs w:val="20"/>
          <w:lang w:eastAsia="el-GR"/>
        </w:rPr>
        <w:t xml:space="preserve">kreślenie czasu </w:t>
      </w:r>
      <w:r w:rsidR="00437F8A" w:rsidRPr="00F0314D">
        <w:rPr>
          <w:rFonts w:eastAsia="Times New Roman" w:cstheme="minorHAnsi"/>
          <w:sz w:val="20"/>
          <w:szCs w:val="20"/>
          <w:lang w:eastAsia="el-GR"/>
        </w:rPr>
        <w:t xml:space="preserve">pobrania danych do </w:t>
      </w:r>
      <w:r w:rsidR="003450BE" w:rsidRPr="00F0314D">
        <w:rPr>
          <w:rFonts w:eastAsia="Times New Roman" w:cstheme="minorHAnsi"/>
          <w:sz w:val="20"/>
          <w:szCs w:val="20"/>
          <w:lang w:eastAsia="el-GR"/>
        </w:rPr>
        <w:t xml:space="preserve">migracji </w:t>
      </w:r>
      <w:r w:rsidR="00437F8A" w:rsidRPr="00F0314D">
        <w:rPr>
          <w:rFonts w:eastAsia="Times New Roman" w:cstheme="minorHAnsi"/>
          <w:sz w:val="20"/>
          <w:szCs w:val="20"/>
          <w:lang w:eastAsia="el-GR"/>
        </w:rPr>
        <w:t>od Dostawcy</w:t>
      </w:r>
      <w:r w:rsidR="00920CB1">
        <w:rPr>
          <w:rFonts w:eastAsia="Times New Roman" w:cstheme="minorHAnsi"/>
          <w:sz w:val="20"/>
          <w:szCs w:val="20"/>
          <w:lang w:eastAsia="el-GR"/>
        </w:rPr>
        <w:t xml:space="preserve"> usług chmury obliczeniowej</w:t>
      </w:r>
      <w:r w:rsidR="00172317" w:rsidRPr="00F0314D">
        <w:rPr>
          <w:rFonts w:eastAsia="Times New Roman" w:cstheme="minorHAnsi"/>
          <w:sz w:val="20"/>
          <w:szCs w:val="20"/>
          <w:lang w:eastAsia="el-GR"/>
        </w:rPr>
        <w:t>.</w:t>
      </w:r>
      <w:r w:rsidR="00437F8A" w:rsidRPr="00F0314D">
        <w:rPr>
          <w:rFonts w:eastAsia="Times New Roman" w:cstheme="minorHAnsi"/>
          <w:sz w:val="20"/>
          <w:szCs w:val="20"/>
          <w:lang w:eastAsia="el-GR"/>
        </w:rPr>
        <w:t xml:space="preserve"> Czas musi uwzględniać zapisy umowne z </w:t>
      </w:r>
      <w:r w:rsidR="00DD711B">
        <w:rPr>
          <w:rFonts w:eastAsia="Times New Roman" w:cstheme="minorHAnsi"/>
          <w:sz w:val="20"/>
          <w:szCs w:val="20"/>
          <w:lang w:eastAsia="el-GR"/>
        </w:rPr>
        <w:t>D</w:t>
      </w:r>
      <w:r w:rsidR="00437F8A" w:rsidRPr="00F0314D">
        <w:rPr>
          <w:rFonts w:eastAsia="Times New Roman" w:cstheme="minorHAnsi"/>
          <w:sz w:val="20"/>
          <w:szCs w:val="20"/>
          <w:lang w:eastAsia="el-GR"/>
        </w:rPr>
        <w:t xml:space="preserve">ostawcą </w:t>
      </w:r>
      <w:r w:rsidR="00920CB1">
        <w:rPr>
          <w:rFonts w:eastAsia="Times New Roman" w:cstheme="minorHAnsi"/>
          <w:sz w:val="20"/>
          <w:szCs w:val="20"/>
          <w:lang w:eastAsia="el-GR"/>
        </w:rPr>
        <w:t>usług chmury obliczeniowej</w:t>
      </w:r>
      <w:r w:rsidR="00920CB1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437F8A" w:rsidRPr="00F0314D">
        <w:rPr>
          <w:rFonts w:eastAsia="Times New Roman" w:cstheme="minorHAnsi"/>
          <w:sz w:val="20"/>
          <w:szCs w:val="20"/>
          <w:lang w:eastAsia="el-GR"/>
        </w:rPr>
        <w:t>na wyodrębnienie danych i fizyczne ich przekazanie (w tym warunki sieciowe i czas na zamontowanie danych).</w:t>
      </w:r>
    </w:p>
    <w:p w14:paraId="4E96C328" w14:textId="5AFE03BA" w:rsidR="0016663F" w:rsidRPr="00F0314D" w:rsidRDefault="0016559F" w:rsidP="0087408A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Konieczne jest o</w:t>
      </w:r>
      <w:r w:rsidR="00437F8A" w:rsidRPr="00F0314D">
        <w:rPr>
          <w:rFonts w:eastAsia="Times New Roman" w:cstheme="minorHAnsi"/>
          <w:sz w:val="20"/>
          <w:szCs w:val="20"/>
          <w:lang w:eastAsia="el-GR"/>
        </w:rPr>
        <w:t xml:space="preserve">kreślenie </w:t>
      </w:r>
      <w:r w:rsidR="009147BD" w:rsidRPr="00F0314D">
        <w:rPr>
          <w:rFonts w:eastAsia="Times New Roman" w:cstheme="minorHAnsi"/>
          <w:sz w:val="20"/>
          <w:szCs w:val="20"/>
          <w:lang w:eastAsia="el-GR"/>
        </w:rPr>
        <w:t>czas</w:t>
      </w:r>
      <w:r w:rsidR="00437F8A" w:rsidRPr="00F0314D">
        <w:rPr>
          <w:rFonts w:eastAsia="Times New Roman" w:cstheme="minorHAnsi"/>
          <w:sz w:val="20"/>
          <w:szCs w:val="20"/>
          <w:lang w:eastAsia="el-GR"/>
        </w:rPr>
        <w:t xml:space="preserve">u </w:t>
      </w:r>
      <w:r w:rsidR="004B7ED1" w:rsidRPr="00F0314D">
        <w:rPr>
          <w:rFonts w:eastAsia="Times New Roman" w:cstheme="minorHAnsi"/>
          <w:sz w:val="20"/>
          <w:szCs w:val="20"/>
          <w:lang w:eastAsia="el-GR"/>
        </w:rPr>
        <w:t xml:space="preserve">dla </w:t>
      </w:r>
      <w:r w:rsidR="00437F8A" w:rsidRPr="00F0314D">
        <w:rPr>
          <w:rFonts w:eastAsia="Times New Roman" w:cstheme="minorHAnsi"/>
          <w:sz w:val="20"/>
          <w:szCs w:val="20"/>
          <w:lang w:eastAsia="el-GR"/>
        </w:rPr>
        <w:t xml:space="preserve">procesu przełączenia </w:t>
      </w:r>
      <w:r w:rsidR="004B7ED1" w:rsidRPr="00F0314D">
        <w:rPr>
          <w:rFonts w:eastAsia="Times New Roman" w:cstheme="minorHAnsi"/>
          <w:sz w:val="20"/>
          <w:szCs w:val="20"/>
          <w:lang w:eastAsia="el-GR"/>
        </w:rPr>
        <w:t>usługi</w:t>
      </w:r>
      <w:r w:rsidR="0016663F" w:rsidRPr="00F0314D">
        <w:rPr>
          <w:rFonts w:eastAsia="Times New Roman" w:cstheme="minorHAnsi"/>
          <w:sz w:val="20"/>
          <w:szCs w:val="20"/>
          <w:lang w:eastAsia="el-GR"/>
        </w:rPr>
        <w:t xml:space="preserve"> w wymiarze inicjalnym i docelowym </w:t>
      </w:r>
      <w:r w:rsidR="004B7ED1" w:rsidRPr="00F0314D">
        <w:rPr>
          <w:rFonts w:eastAsia="Times New Roman" w:cstheme="minorHAnsi"/>
          <w:sz w:val="20"/>
          <w:szCs w:val="20"/>
          <w:lang w:eastAsia="el-GR"/>
        </w:rPr>
        <w:t>migracji danych</w:t>
      </w:r>
      <w:r w:rsidR="00F7357F" w:rsidRPr="00F0314D">
        <w:rPr>
          <w:rFonts w:eastAsia="Times New Roman" w:cstheme="minorHAnsi"/>
          <w:sz w:val="20"/>
          <w:szCs w:val="20"/>
          <w:lang w:eastAsia="el-GR"/>
        </w:rPr>
        <w:t xml:space="preserve"> a także</w:t>
      </w:r>
      <w:r w:rsidR="004B7ED1" w:rsidRPr="00F0314D">
        <w:rPr>
          <w:rFonts w:eastAsia="Times New Roman" w:cstheme="minorHAnsi"/>
          <w:sz w:val="20"/>
          <w:szCs w:val="20"/>
          <w:lang w:eastAsia="el-GR"/>
        </w:rPr>
        <w:t xml:space="preserve"> uruchomieniu usługi na odtworzonych danych. </w:t>
      </w:r>
      <w:r w:rsidR="0016663F" w:rsidRPr="00F0314D">
        <w:rPr>
          <w:rFonts w:eastAsia="Times New Roman" w:cstheme="minorHAnsi"/>
          <w:sz w:val="20"/>
          <w:szCs w:val="20"/>
          <w:lang w:eastAsia="el-GR"/>
        </w:rPr>
        <w:t xml:space="preserve">Czas ten nie może naruszać przyjętego RTO i RPO dla usługi. </w:t>
      </w:r>
    </w:p>
    <w:p w14:paraId="08C9B362" w14:textId="5749904A" w:rsidR="0016663F" w:rsidRPr="00F0314D" w:rsidRDefault="0016663F" w:rsidP="0087408A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lastRenderedPageBreak/>
        <w:t xml:space="preserve">Dla usług o znaczeniu krytycznym dla ciągłości działania </w:t>
      </w:r>
      <w:r w:rsidR="00CA0A45" w:rsidRPr="00CA0A45">
        <w:rPr>
          <w:rFonts w:eastAsia="Times New Roman" w:cstheme="minorHAnsi"/>
          <w:sz w:val="20"/>
          <w:szCs w:val="20"/>
          <w:lang w:eastAsia="el-GR"/>
        </w:rPr>
        <w:t xml:space="preserve">Zakładu Ubezpieczeń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należy przechowywać backup lokalny danych przekazanych do chmury </w:t>
      </w:r>
      <w:r w:rsidR="00920CB1">
        <w:rPr>
          <w:rFonts w:eastAsia="Times New Roman" w:cstheme="minorHAnsi"/>
          <w:sz w:val="20"/>
          <w:szCs w:val="20"/>
          <w:lang w:eastAsia="el-GR"/>
        </w:rPr>
        <w:t xml:space="preserve">obliczeniowej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celem minimalizacji czasu przełączenia usługi. Zakres backupu i czas retencji danych powinien zostać zdefiniowany z punktu widzenia ryzyka dla ciągłości działania. Backup </w:t>
      </w:r>
      <w:r w:rsidR="003A474B">
        <w:rPr>
          <w:rFonts w:eastAsia="Times New Roman" w:cstheme="minorHAnsi"/>
          <w:sz w:val="20"/>
          <w:szCs w:val="20"/>
          <w:lang w:eastAsia="el-GR"/>
        </w:rPr>
        <w:t xml:space="preserve">ma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na celu jedynie minimalizację czasu </w:t>
      </w:r>
      <w:r w:rsidR="00F7357F" w:rsidRPr="00F0314D">
        <w:rPr>
          <w:rFonts w:eastAsia="Times New Roman" w:cstheme="minorHAnsi"/>
          <w:sz w:val="20"/>
          <w:szCs w:val="20"/>
          <w:lang w:eastAsia="el-GR"/>
        </w:rPr>
        <w:t xml:space="preserve">inicjalnego </w:t>
      </w:r>
      <w:r w:rsidRPr="00F0314D">
        <w:rPr>
          <w:rFonts w:eastAsia="Times New Roman" w:cstheme="minorHAnsi"/>
          <w:sz w:val="20"/>
          <w:szCs w:val="20"/>
          <w:lang w:eastAsia="el-GR"/>
        </w:rPr>
        <w:t>przełączenia najbardziej krytycznych danych. Całkowity czas migracji zakłada</w:t>
      </w:r>
      <w:r w:rsidRPr="00F0314D">
        <w:rPr>
          <w:rFonts w:cstheme="minorHAnsi"/>
          <w:sz w:val="20"/>
          <w:szCs w:val="20"/>
        </w:rPr>
        <w:t xml:space="preserve"> pozyskanie </w:t>
      </w:r>
      <w:r w:rsidR="00F7357F" w:rsidRPr="00F0314D">
        <w:rPr>
          <w:rFonts w:cstheme="minorHAnsi"/>
          <w:sz w:val="20"/>
          <w:szCs w:val="20"/>
        </w:rPr>
        <w:t xml:space="preserve">wszystkich </w:t>
      </w:r>
      <w:r w:rsidRPr="00F0314D">
        <w:rPr>
          <w:rFonts w:cstheme="minorHAnsi"/>
          <w:sz w:val="20"/>
          <w:szCs w:val="20"/>
        </w:rPr>
        <w:t>danych od Dostawcy</w:t>
      </w:r>
      <w:r w:rsidR="00920CB1">
        <w:rPr>
          <w:rFonts w:cstheme="minorHAnsi"/>
          <w:sz w:val="20"/>
          <w:szCs w:val="20"/>
        </w:rPr>
        <w:t xml:space="preserve"> usług chmury obliczeniowej</w:t>
      </w:r>
      <w:r w:rsidRPr="00F0314D">
        <w:rPr>
          <w:rFonts w:cstheme="minorHAnsi"/>
          <w:sz w:val="20"/>
          <w:szCs w:val="20"/>
        </w:rPr>
        <w:t>.</w:t>
      </w:r>
    </w:p>
    <w:p w14:paraId="3CF36A4D" w14:textId="77777777" w:rsidR="00AF7AD6" w:rsidRPr="00F0314D" w:rsidRDefault="00AF7AD6" w:rsidP="003D3A65">
      <w:pPr>
        <w:pStyle w:val="Heading2"/>
        <w:rPr>
          <w:rFonts w:asciiTheme="minorHAnsi" w:hAnsiTheme="minorHAnsi" w:cstheme="minorHAnsi"/>
        </w:rPr>
      </w:pPr>
      <w:r w:rsidRPr="00F0314D">
        <w:rPr>
          <w:rFonts w:asciiTheme="minorHAnsi" w:hAnsiTheme="minorHAnsi" w:cstheme="minorHAnsi"/>
        </w:rPr>
        <w:t>Harmonogram migracji</w:t>
      </w:r>
    </w:p>
    <w:p w14:paraId="25832CA7" w14:textId="5DE1E743" w:rsidR="0016559F" w:rsidRDefault="0016559F" w:rsidP="006A7C2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Należy uwzględnić s</w:t>
      </w:r>
      <w:r w:rsidR="00AF7AD6" w:rsidRPr="006A7C2F">
        <w:rPr>
          <w:rFonts w:eastAsia="Times New Roman" w:cstheme="minorHAnsi"/>
          <w:sz w:val="20"/>
          <w:szCs w:val="20"/>
          <w:lang w:eastAsia="el-GR"/>
        </w:rPr>
        <w:t xml:space="preserve">zacunkowy harmonogram migracji na „on-premise” lub do innej usługi. </w:t>
      </w:r>
    </w:p>
    <w:p w14:paraId="3A02D840" w14:textId="36DEE37F" w:rsidR="00A41433" w:rsidRPr="006A7C2F" w:rsidRDefault="003A474B" w:rsidP="006A7C2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 xml:space="preserve">Zaleca się przygotowanie </w:t>
      </w:r>
      <w:r w:rsidR="00AF7AD6" w:rsidRPr="006A7C2F">
        <w:rPr>
          <w:rFonts w:eastAsia="Times New Roman" w:cstheme="minorHAnsi"/>
          <w:sz w:val="20"/>
          <w:szCs w:val="20"/>
          <w:lang w:eastAsia="el-GR"/>
        </w:rPr>
        <w:t>harmonogram</w:t>
      </w:r>
      <w:r>
        <w:rPr>
          <w:rFonts w:eastAsia="Times New Roman" w:cstheme="minorHAnsi"/>
          <w:sz w:val="20"/>
          <w:szCs w:val="20"/>
          <w:lang w:eastAsia="el-GR"/>
        </w:rPr>
        <w:t>u</w:t>
      </w:r>
      <w:r w:rsidR="00AF7AD6" w:rsidRPr="006A7C2F">
        <w:rPr>
          <w:rFonts w:eastAsia="Times New Roman" w:cstheme="minorHAnsi"/>
          <w:sz w:val="20"/>
          <w:szCs w:val="20"/>
          <w:lang w:eastAsia="el-GR"/>
        </w:rPr>
        <w:t xml:space="preserve"> projektow</w:t>
      </w:r>
      <w:r>
        <w:rPr>
          <w:rFonts w:eastAsia="Times New Roman" w:cstheme="minorHAnsi"/>
          <w:sz w:val="20"/>
          <w:szCs w:val="20"/>
          <w:lang w:eastAsia="el-GR"/>
        </w:rPr>
        <w:t>ego</w:t>
      </w:r>
      <w:r w:rsidR="00AF7AD6" w:rsidRPr="006A7C2F">
        <w:rPr>
          <w:rFonts w:eastAsia="Times New Roman" w:cstheme="minorHAnsi"/>
          <w:sz w:val="20"/>
          <w:szCs w:val="20"/>
          <w:lang w:eastAsia="el-GR"/>
        </w:rPr>
        <w:t xml:space="preserve"> </w:t>
      </w:r>
      <w:r>
        <w:rPr>
          <w:rFonts w:eastAsia="Times New Roman" w:cstheme="minorHAnsi"/>
          <w:sz w:val="20"/>
          <w:szCs w:val="20"/>
          <w:lang w:eastAsia="el-GR"/>
        </w:rPr>
        <w:t>uwzględniającego m.in.</w:t>
      </w:r>
      <w:r w:rsidRPr="006A7C2F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AF7AD6" w:rsidRPr="006A7C2F">
        <w:rPr>
          <w:rFonts w:eastAsia="Times New Roman" w:cstheme="minorHAnsi"/>
          <w:sz w:val="20"/>
          <w:szCs w:val="20"/>
          <w:lang w:eastAsia="el-GR"/>
        </w:rPr>
        <w:t>wymagane zasoby, zadania i kamienie milowe.</w:t>
      </w:r>
    </w:p>
    <w:p w14:paraId="1A2EDE9A" w14:textId="77777777" w:rsidR="008A20C9" w:rsidRPr="00F0314D" w:rsidRDefault="008A20C9" w:rsidP="003D3A65">
      <w:pPr>
        <w:pStyle w:val="Heading2"/>
        <w:rPr>
          <w:rFonts w:asciiTheme="minorHAnsi" w:hAnsiTheme="minorHAnsi" w:cstheme="minorHAnsi"/>
        </w:rPr>
      </w:pPr>
      <w:r w:rsidRPr="00F0314D">
        <w:rPr>
          <w:rFonts w:asciiTheme="minorHAnsi" w:hAnsiTheme="minorHAnsi" w:cstheme="minorHAnsi"/>
        </w:rPr>
        <w:t>Role i odpowiedzialności</w:t>
      </w:r>
    </w:p>
    <w:p w14:paraId="131E7B23" w14:textId="2EAAB8AD" w:rsidR="00CF631A" w:rsidRPr="00F0314D" w:rsidRDefault="0016559F" w:rsidP="0087408A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Konieczne jest o</w:t>
      </w:r>
      <w:r w:rsidR="008A20C9" w:rsidRPr="00F0314D">
        <w:rPr>
          <w:rFonts w:eastAsia="Times New Roman" w:cstheme="minorHAnsi"/>
          <w:sz w:val="20"/>
          <w:szCs w:val="20"/>
          <w:lang w:eastAsia="el-GR"/>
        </w:rPr>
        <w:t xml:space="preserve">kreślenie ról i odpowiedzialności </w:t>
      </w:r>
      <w:r>
        <w:rPr>
          <w:rFonts w:eastAsia="Times New Roman" w:cstheme="minorHAnsi"/>
          <w:sz w:val="20"/>
          <w:szCs w:val="20"/>
          <w:lang w:eastAsia="el-GR"/>
        </w:rPr>
        <w:t xml:space="preserve">Zakładu Ubezpieczeń i Dostawcy usług chmury obliczeniowej </w:t>
      </w:r>
      <w:r w:rsidR="008A20C9" w:rsidRPr="00F0314D">
        <w:rPr>
          <w:rFonts w:eastAsia="Times New Roman" w:cstheme="minorHAnsi"/>
          <w:sz w:val="20"/>
          <w:szCs w:val="20"/>
          <w:lang w:eastAsia="el-GR"/>
        </w:rPr>
        <w:t>w procesie migracji</w:t>
      </w:r>
      <w:r>
        <w:rPr>
          <w:rFonts w:eastAsia="Times New Roman" w:cstheme="minorHAnsi"/>
          <w:sz w:val="20"/>
          <w:szCs w:val="20"/>
          <w:lang w:eastAsia="el-GR"/>
        </w:rPr>
        <w:t>.</w:t>
      </w:r>
    </w:p>
    <w:p w14:paraId="1366A23E" w14:textId="667BA19B" w:rsidR="009F31FB" w:rsidRPr="00F0314D" w:rsidRDefault="0016559F" w:rsidP="0087408A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Należy określić o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bowiązki </w:t>
      </w:r>
      <w:r w:rsidR="00725B07">
        <w:rPr>
          <w:rFonts w:eastAsia="Times New Roman" w:cstheme="minorHAnsi"/>
          <w:sz w:val="20"/>
          <w:szCs w:val="20"/>
          <w:lang w:eastAsia="el-GR"/>
        </w:rPr>
        <w:t>D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>ostawcy</w:t>
      </w:r>
      <w:r w:rsidR="00920CB1">
        <w:rPr>
          <w:rFonts w:eastAsia="Times New Roman" w:cstheme="minorHAnsi"/>
          <w:sz w:val="20"/>
          <w:szCs w:val="20"/>
          <w:lang w:eastAsia="el-GR"/>
        </w:rPr>
        <w:t xml:space="preserve"> usług chmury obliczeniowej </w:t>
      </w:r>
    </w:p>
    <w:p w14:paraId="636AE4A9" w14:textId="76410CF1" w:rsidR="009F31FB" w:rsidRPr="00F0314D" w:rsidRDefault="009F31FB" w:rsidP="0087408A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W razie wypowiedzenia lub rozwiązania Umowy, niezależnie od przyczyny, Dostawca usług </w:t>
      </w:r>
      <w:r w:rsidR="00920CB1" w:rsidRPr="00F0314D">
        <w:rPr>
          <w:rFonts w:eastAsia="Times New Roman" w:cstheme="minorHAnsi"/>
          <w:sz w:val="20"/>
          <w:szCs w:val="20"/>
          <w:lang w:eastAsia="el-GR"/>
        </w:rPr>
        <w:t>chmur</w:t>
      </w:r>
      <w:r w:rsidR="00920CB1">
        <w:rPr>
          <w:rFonts w:eastAsia="Times New Roman" w:cstheme="minorHAnsi"/>
          <w:sz w:val="20"/>
          <w:szCs w:val="20"/>
          <w:lang w:eastAsia="el-GR"/>
        </w:rPr>
        <w:t>y obliczeniowej</w:t>
      </w:r>
      <w:r w:rsidR="00920CB1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3A474B">
        <w:rPr>
          <w:rFonts w:eastAsia="Times New Roman" w:cstheme="minorHAnsi"/>
          <w:sz w:val="20"/>
          <w:szCs w:val="20"/>
          <w:lang w:eastAsia="el-GR"/>
        </w:rPr>
        <w:t xml:space="preserve">powinien </w:t>
      </w:r>
      <w:r w:rsidRPr="00F0314D">
        <w:rPr>
          <w:rFonts w:eastAsia="Times New Roman" w:cstheme="minorHAnsi"/>
          <w:sz w:val="20"/>
          <w:szCs w:val="20"/>
          <w:lang w:eastAsia="el-GR"/>
        </w:rPr>
        <w:t>zapewni</w:t>
      </w:r>
      <w:r w:rsidR="003A474B">
        <w:rPr>
          <w:rFonts w:eastAsia="Times New Roman" w:cstheme="minorHAnsi"/>
          <w:sz w:val="20"/>
          <w:szCs w:val="20"/>
          <w:lang w:eastAsia="el-GR"/>
        </w:rPr>
        <w:t>ć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20CB1">
        <w:rPr>
          <w:rFonts w:eastAsia="Times New Roman" w:cstheme="minorHAnsi"/>
          <w:sz w:val="20"/>
          <w:szCs w:val="20"/>
          <w:lang w:eastAsia="el-GR"/>
        </w:rPr>
        <w:t>Zakładowi Ubezpieczeń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, niezwłocznie po wygaśnięciu lub rozwiązaniu Umowy możliwość transferu Danych </w:t>
      </w:r>
      <w:r w:rsidR="00920CB1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="00920CB1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F0314D">
        <w:rPr>
          <w:rFonts w:eastAsia="Times New Roman" w:cstheme="minorHAnsi"/>
          <w:sz w:val="20"/>
          <w:szCs w:val="20"/>
          <w:lang w:eastAsia="el-GR"/>
        </w:rPr>
        <w:t>poprzez:</w:t>
      </w:r>
    </w:p>
    <w:p w14:paraId="16D313D2" w14:textId="679DB3A1" w:rsidR="009F31FB" w:rsidRPr="00F0314D" w:rsidRDefault="00CB0C68" w:rsidP="0087408A">
      <w:pPr>
        <w:numPr>
          <w:ilvl w:val="1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u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możliwienie </w:t>
      </w:r>
      <w:r w:rsidR="00920CB1">
        <w:rPr>
          <w:rFonts w:eastAsia="Times New Roman" w:cstheme="minorHAnsi"/>
          <w:sz w:val="20"/>
          <w:szCs w:val="20"/>
          <w:lang w:eastAsia="el-GR"/>
        </w:rPr>
        <w:t>Zakładowi Ubezpieczeń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pobrania Danych </w:t>
      </w:r>
      <w:r w:rsidR="00920CB1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="00920CB1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ze swojej infrastruktury w terminie ustalonym przez </w:t>
      </w:r>
      <w:r w:rsidR="00920CB1">
        <w:rPr>
          <w:rFonts w:eastAsia="Times New Roman" w:cstheme="minorHAnsi"/>
          <w:sz w:val="20"/>
          <w:szCs w:val="20"/>
          <w:lang w:eastAsia="el-GR"/>
        </w:rPr>
        <w:t>Zakład Ubezpieczeń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i Dostawcę usług chmur</w:t>
      </w:r>
      <w:r w:rsidR="00920CB1">
        <w:rPr>
          <w:rFonts w:eastAsia="Times New Roman" w:cstheme="minorHAnsi"/>
          <w:sz w:val="20"/>
          <w:szCs w:val="20"/>
          <w:lang w:eastAsia="el-GR"/>
        </w:rPr>
        <w:t>y obliczeniowej</w:t>
      </w:r>
      <w:r>
        <w:rPr>
          <w:rFonts w:eastAsia="Times New Roman" w:cstheme="minorHAnsi"/>
          <w:sz w:val="20"/>
          <w:szCs w:val="20"/>
          <w:lang w:eastAsia="el-GR"/>
        </w:rPr>
        <w:t>;</w:t>
      </w:r>
    </w:p>
    <w:p w14:paraId="3AAC0C66" w14:textId="4F178613" w:rsidR="009F31FB" w:rsidRPr="00F0314D" w:rsidRDefault="00CB0C68" w:rsidP="0087408A">
      <w:pPr>
        <w:numPr>
          <w:ilvl w:val="1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w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>ydanie loginów i haseł zgodnie z Umową</w:t>
      </w:r>
      <w:r>
        <w:rPr>
          <w:rFonts w:eastAsia="Times New Roman" w:cstheme="minorHAnsi"/>
          <w:sz w:val="20"/>
          <w:szCs w:val="20"/>
          <w:lang w:eastAsia="el-GR"/>
        </w:rPr>
        <w:t>;</w:t>
      </w:r>
    </w:p>
    <w:p w14:paraId="756465DD" w14:textId="07C9BC59" w:rsidR="009F31FB" w:rsidRPr="00F0314D" w:rsidRDefault="00CB0C68" w:rsidP="0087408A">
      <w:pPr>
        <w:numPr>
          <w:ilvl w:val="1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z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apewnienie właściwej ochrony danych </w:t>
      </w:r>
      <w:r w:rsidR="00920CB1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znajdujących się w logach systemów współdzielonych</w:t>
      </w:r>
      <w:r>
        <w:rPr>
          <w:rFonts w:eastAsia="Times New Roman" w:cstheme="minorHAnsi"/>
          <w:sz w:val="20"/>
          <w:szCs w:val="20"/>
          <w:lang w:eastAsia="el-GR"/>
        </w:rPr>
        <w:t>;</w:t>
      </w:r>
    </w:p>
    <w:p w14:paraId="27A4D40F" w14:textId="254FD7C6" w:rsidR="009F31FB" w:rsidRPr="00F0314D" w:rsidRDefault="00CB0C68" w:rsidP="0087408A">
      <w:pPr>
        <w:numPr>
          <w:ilvl w:val="1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z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wrot sprzętu </w:t>
      </w:r>
      <w:r w:rsidR="00920CB1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wniesionego do infrastruktury Dostawcy</w:t>
      </w:r>
      <w:r w:rsidR="00920CB1">
        <w:rPr>
          <w:rFonts w:eastAsia="Times New Roman" w:cstheme="minorHAnsi"/>
          <w:sz w:val="20"/>
          <w:szCs w:val="20"/>
          <w:lang w:eastAsia="el-GR"/>
        </w:rPr>
        <w:t xml:space="preserve"> usług chmury obliczeniowej</w:t>
      </w:r>
      <w:r w:rsidR="00ED022D" w:rsidRPr="00F0314D">
        <w:rPr>
          <w:rFonts w:eastAsia="Times New Roman" w:cstheme="minorHAnsi"/>
          <w:sz w:val="20"/>
          <w:szCs w:val="20"/>
          <w:lang w:eastAsia="el-GR"/>
        </w:rPr>
        <w:t>,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jeśli taka sytuacja miała miejsce</w:t>
      </w:r>
      <w:r>
        <w:rPr>
          <w:rFonts w:eastAsia="Times New Roman" w:cstheme="minorHAnsi"/>
          <w:sz w:val="20"/>
          <w:szCs w:val="20"/>
          <w:lang w:eastAsia="el-GR"/>
        </w:rPr>
        <w:t>;</w:t>
      </w:r>
    </w:p>
    <w:p w14:paraId="79681831" w14:textId="03158799" w:rsidR="009F31FB" w:rsidRPr="00F0314D" w:rsidRDefault="00CB0C68" w:rsidP="0087408A">
      <w:pPr>
        <w:numPr>
          <w:ilvl w:val="1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z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>wrot dokumentacji w wersji papierowej (o ile taka istniała).</w:t>
      </w:r>
    </w:p>
    <w:p w14:paraId="2974FA5A" w14:textId="1D91A341" w:rsidR="009F31FB" w:rsidRPr="00F0314D" w:rsidRDefault="009F31FB" w:rsidP="0087408A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Dostawca usług </w:t>
      </w:r>
      <w:r w:rsidR="005772D5">
        <w:rPr>
          <w:rFonts w:eastAsia="Times New Roman" w:cstheme="minorHAnsi"/>
          <w:sz w:val="20"/>
          <w:szCs w:val="20"/>
          <w:lang w:eastAsia="el-GR"/>
        </w:rPr>
        <w:t>chmury obliczeniowej</w:t>
      </w:r>
      <w:r w:rsidR="005772D5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7B25BF">
        <w:rPr>
          <w:rFonts w:eastAsia="Times New Roman" w:cstheme="minorHAnsi"/>
          <w:sz w:val="20"/>
          <w:szCs w:val="20"/>
          <w:lang w:eastAsia="el-GR"/>
        </w:rPr>
        <w:t xml:space="preserve">powinien </w:t>
      </w:r>
      <w:r w:rsidRPr="00F0314D">
        <w:rPr>
          <w:rFonts w:eastAsia="Times New Roman" w:cstheme="minorHAnsi"/>
          <w:sz w:val="20"/>
          <w:szCs w:val="20"/>
          <w:lang w:eastAsia="el-GR"/>
        </w:rPr>
        <w:t>zapewni</w:t>
      </w:r>
      <w:r w:rsidR="007B25BF">
        <w:rPr>
          <w:rFonts w:eastAsia="Times New Roman" w:cstheme="minorHAnsi"/>
          <w:sz w:val="20"/>
          <w:szCs w:val="20"/>
          <w:lang w:eastAsia="el-GR"/>
        </w:rPr>
        <w:t>ć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, w zależności od okoliczności prawnych, </w:t>
      </w:r>
      <w:r w:rsidR="005772D5">
        <w:rPr>
          <w:rFonts w:eastAsia="Times New Roman" w:cstheme="minorHAnsi"/>
          <w:sz w:val="20"/>
          <w:szCs w:val="20"/>
          <w:lang w:eastAsia="el-GR"/>
        </w:rPr>
        <w:t>Zakładowi Ubezpieczeń</w:t>
      </w:r>
      <w:r w:rsidR="005772D5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F0314D">
        <w:rPr>
          <w:rFonts w:eastAsia="Times New Roman" w:cstheme="minorHAnsi"/>
          <w:sz w:val="20"/>
          <w:szCs w:val="20"/>
          <w:lang w:eastAsia="el-GR"/>
        </w:rPr>
        <w:t>możliwość ciągłego, nieprzerwanego korzystania z licencji niezbędnych do podtrzymania ciągłości działania usług w tym zapewni możliwość przeniesienia</w:t>
      </w:r>
      <w:r w:rsidR="007B25BF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na </w:t>
      </w:r>
      <w:r w:rsidR="005772D5">
        <w:rPr>
          <w:rFonts w:eastAsia="Times New Roman" w:cstheme="minorHAnsi"/>
          <w:sz w:val="20"/>
          <w:szCs w:val="20"/>
          <w:lang w:eastAsia="el-GR"/>
        </w:rPr>
        <w:t>Zakład Ubezpieczeń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licencji o których mowa w punkcie powyżej</w:t>
      </w:r>
      <w:r w:rsidR="00CB0C68">
        <w:rPr>
          <w:rFonts w:eastAsia="Times New Roman" w:cstheme="minorHAnsi"/>
          <w:sz w:val="20"/>
          <w:szCs w:val="20"/>
          <w:lang w:eastAsia="el-GR"/>
        </w:rPr>
        <w:t>.</w:t>
      </w:r>
    </w:p>
    <w:p w14:paraId="07B50D90" w14:textId="252278B0" w:rsidR="009F31FB" w:rsidRPr="00F0314D" w:rsidRDefault="009F31FB" w:rsidP="0087408A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Dostawca usług </w:t>
      </w:r>
      <w:r w:rsidR="005772D5">
        <w:rPr>
          <w:rFonts w:eastAsia="Times New Roman" w:cstheme="minorHAnsi"/>
          <w:sz w:val="20"/>
          <w:szCs w:val="20"/>
          <w:lang w:eastAsia="el-GR"/>
        </w:rPr>
        <w:t>chmury obliczeniowej</w:t>
      </w:r>
      <w:r w:rsidR="005772D5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7B25BF">
        <w:rPr>
          <w:rFonts w:eastAsia="Times New Roman" w:cstheme="minorHAnsi"/>
          <w:sz w:val="20"/>
          <w:szCs w:val="20"/>
          <w:lang w:eastAsia="el-GR"/>
        </w:rPr>
        <w:t xml:space="preserve">powinien zostać </w:t>
      </w:r>
      <w:r w:rsidRPr="00F0314D">
        <w:rPr>
          <w:rFonts w:eastAsia="Times New Roman" w:cstheme="minorHAnsi"/>
          <w:sz w:val="20"/>
          <w:szCs w:val="20"/>
          <w:lang w:eastAsia="el-GR"/>
        </w:rPr>
        <w:t>zobowiązany do:</w:t>
      </w:r>
    </w:p>
    <w:p w14:paraId="47D61000" w14:textId="6D9C00C7" w:rsidR="009F31FB" w:rsidRPr="00F0314D" w:rsidRDefault="006A227C" w:rsidP="0087408A">
      <w:pPr>
        <w:numPr>
          <w:ilvl w:val="1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u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sunięcia w sposób nieodwracalny danych </w:t>
      </w:r>
      <w:r w:rsidR="005772D5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oraz oprogramowani</w:t>
      </w:r>
      <w:r w:rsidR="007B25BF">
        <w:rPr>
          <w:rFonts w:eastAsia="Times New Roman" w:cstheme="minorHAnsi"/>
          <w:sz w:val="20"/>
          <w:szCs w:val="20"/>
          <w:lang w:eastAsia="el-GR"/>
        </w:rPr>
        <w:t>a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5772D5" w:rsidRPr="005772D5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5772D5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="005772D5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z zasobów Dostawcy</w:t>
      </w:r>
      <w:r w:rsidR="005772D5">
        <w:rPr>
          <w:rFonts w:eastAsia="Times New Roman" w:cstheme="minorHAnsi"/>
          <w:sz w:val="20"/>
          <w:szCs w:val="20"/>
          <w:lang w:eastAsia="el-GR"/>
        </w:rPr>
        <w:t xml:space="preserve"> usług chmury obliczeniowej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oraz </w:t>
      </w:r>
      <w:r w:rsidR="005772D5">
        <w:rPr>
          <w:rFonts w:eastAsia="Times New Roman" w:cstheme="minorHAnsi"/>
          <w:sz w:val="20"/>
          <w:szCs w:val="20"/>
          <w:lang w:eastAsia="el-GR"/>
        </w:rPr>
        <w:t>P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>odwykonawców współpracujących</w:t>
      </w:r>
      <w:r>
        <w:rPr>
          <w:rFonts w:eastAsia="Times New Roman" w:cstheme="minorHAnsi"/>
          <w:sz w:val="20"/>
          <w:szCs w:val="20"/>
          <w:lang w:eastAsia="el-GR"/>
        </w:rPr>
        <w:t>;</w:t>
      </w:r>
    </w:p>
    <w:p w14:paraId="7A309CCC" w14:textId="0CB86866" w:rsidR="009F31FB" w:rsidRPr="00F0314D" w:rsidRDefault="009F31FB" w:rsidP="0087408A">
      <w:pPr>
        <w:numPr>
          <w:ilvl w:val="1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usunięcia w sposób nieodwracalny danych </w:t>
      </w:r>
      <w:r w:rsidR="005772D5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="005772D5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z zasobów Dostawcy </w:t>
      </w:r>
      <w:r w:rsidR="005772D5">
        <w:rPr>
          <w:rFonts w:eastAsia="Times New Roman" w:cstheme="minorHAnsi"/>
          <w:sz w:val="20"/>
          <w:szCs w:val="20"/>
          <w:lang w:eastAsia="el-GR"/>
        </w:rPr>
        <w:t>usług chmury obliczeniowej</w:t>
      </w:r>
      <w:r w:rsidR="005772D5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oraz </w:t>
      </w:r>
      <w:r w:rsidR="005772D5">
        <w:rPr>
          <w:rFonts w:eastAsia="Times New Roman" w:cstheme="minorHAnsi"/>
          <w:sz w:val="20"/>
          <w:szCs w:val="20"/>
          <w:lang w:eastAsia="el-GR"/>
        </w:rPr>
        <w:t>P</w:t>
      </w:r>
      <w:r w:rsidRPr="00F0314D">
        <w:rPr>
          <w:rFonts w:eastAsia="Times New Roman" w:cstheme="minorHAnsi"/>
          <w:sz w:val="20"/>
          <w:szCs w:val="20"/>
          <w:lang w:eastAsia="el-GR"/>
        </w:rPr>
        <w:t>odwykonawców współpracujących</w:t>
      </w:r>
      <w:r w:rsidR="0048786B">
        <w:rPr>
          <w:rFonts w:eastAsia="Times New Roman" w:cstheme="minorHAnsi"/>
          <w:sz w:val="20"/>
          <w:szCs w:val="20"/>
          <w:lang w:eastAsia="el-GR"/>
        </w:rPr>
        <w:t>,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5772D5">
        <w:rPr>
          <w:rFonts w:eastAsia="Times New Roman" w:cstheme="minorHAnsi"/>
          <w:sz w:val="20"/>
          <w:szCs w:val="20"/>
          <w:lang w:eastAsia="el-GR"/>
        </w:rPr>
        <w:t>w</w:t>
      </w:r>
      <w:r w:rsidR="005772D5" w:rsidRPr="00F0314D">
        <w:rPr>
          <w:rFonts w:eastAsia="Times New Roman" w:cstheme="minorHAnsi"/>
          <w:sz w:val="20"/>
          <w:szCs w:val="20"/>
          <w:lang w:eastAsia="el-GR"/>
        </w:rPr>
        <w:t xml:space="preserve"> szczególności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mających charakter danych osobowych oraz danych objętych tajemnicą </w:t>
      </w:r>
      <w:r w:rsidR="00CA0A45">
        <w:rPr>
          <w:rFonts w:eastAsia="Times New Roman" w:cstheme="minorHAnsi"/>
          <w:sz w:val="20"/>
          <w:szCs w:val="20"/>
          <w:lang w:eastAsia="el-GR"/>
        </w:rPr>
        <w:t>ubezpieczeniową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lub zawodową</w:t>
      </w:r>
      <w:r w:rsidR="006A227C">
        <w:rPr>
          <w:rFonts w:eastAsia="Times New Roman" w:cstheme="minorHAnsi"/>
          <w:sz w:val="20"/>
          <w:szCs w:val="20"/>
          <w:lang w:eastAsia="el-GR"/>
        </w:rPr>
        <w:t>;</w:t>
      </w:r>
    </w:p>
    <w:p w14:paraId="35FC4548" w14:textId="4768F386" w:rsidR="009F31FB" w:rsidRPr="00F0314D" w:rsidRDefault="00CB0C68" w:rsidP="0087408A">
      <w:pPr>
        <w:numPr>
          <w:ilvl w:val="1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w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spółpracy z </w:t>
      </w:r>
      <w:r w:rsidR="005772D5">
        <w:rPr>
          <w:rFonts w:eastAsia="Times New Roman" w:cstheme="minorHAnsi"/>
          <w:sz w:val="20"/>
          <w:szCs w:val="20"/>
          <w:lang w:eastAsia="el-GR"/>
        </w:rPr>
        <w:t>Zakładem Ubezpieczeń</w:t>
      </w:r>
      <w:r w:rsidR="005772D5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w zakresie transferu danych do </w:t>
      </w:r>
      <w:r w:rsidR="005772D5">
        <w:rPr>
          <w:rFonts w:eastAsia="Times New Roman" w:cstheme="minorHAnsi"/>
          <w:sz w:val="20"/>
          <w:szCs w:val="20"/>
          <w:lang w:eastAsia="el-GR"/>
        </w:rPr>
        <w:t xml:space="preserve">Zakładu Ubezpieczeń 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lub innego podmiotu wskazanego przez </w:t>
      </w:r>
      <w:r w:rsidR="005772D5">
        <w:rPr>
          <w:rFonts w:eastAsia="Times New Roman" w:cstheme="minorHAnsi"/>
          <w:sz w:val="20"/>
          <w:szCs w:val="20"/>
          <w:lang w:eastAsia="el-GR"/>
        </w:rPr>
        <w:t>Zakład Ubezpieczeń.</w:t>
      </w:r>
      <w:r w:rsidR="005772D5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6A227C">
        <w:rPr>
          <w:rFonts w:eastAsia="Times New Roman" w:cstheme="minorHAnsi"/>
          <w:sz w:val="20"/>
          <w:szCs w:val="20"/>
          <w:lang w:eastAsia="el-GR"/>
        </w:rPr>
        <w:t>;</w:t>
      </w:r>
    </w:p>
    <w:p w14:paraId="29FAA8B5" w14:textId="35D3E2FC" w:rsidR="009F31FB" w:rsidRPr="00F0314D" w:rsidRDefault="00CB0C68" w:rsidP="0087408A">
      <w:pPr>
        <w:numPr>
          <w:ilvl w:val="1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z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apewnienia współpracy jego </w:t>
      </w:r>
      <w:r w:rsidR="005772D5">
        <w:rPr>
          <w:rFonts w:eastAsia="Times New Roman" w:cstheme="minorHAnsi"/>
          <w:sz w:val="20"/>
          <w:szCs w:val="20"/>
          <w:lang w:eastAsia="el-GR"/>
        </w:rPr>
        <w:t>P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>odwykonawców w zakresie realizacji planu wyjścia</w:t>
      </w:r>
      <w:r w:rsidR="006A227C">
        <w:rPr>
          <w:rFonts w:eastAsia="Times New Roman" w:cstheme="minorHAnsi"/>
          <w:sz w:val="20"/>
          <w:szCs w:val="20"/>
          <w:lang w:eastAsia="el-GR"/>
        </w:rPr>
        <w:t>;</w:t>
      </w:r>
    </w:p>
    <w:p w14:paraId="10270185" w14:textId="4F64DE3D" w:rsidR="009F31FB" w:rsidRPr="00F0314D" w:rsidRDefault="00CB0C68" w:rsidP="0087408A">
      <w:pPr>
        <w:numPr>
          <w:ilvl w:val="1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o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kreślenia wspólnie z </w:t>
      </w:r>
      <w:r w:rsidR="005772D5">
        <w:rPr>
          <w:rFonts w:eastAsia="Times New Roman" w:cstheme="minorHAnsi"/>
          <w:sz w:val="20"/>
          <w:szCs w:val="20"/>
          <w:lang w:eastAsia="el-GR"/>
        </w:rPr>
        <w:t>Zakładem Ubezpieczeń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>: a) szczegółowego harmonogram planu wyjścia, b) szczegółowego zakresu prowadzonych czynności, c) szczegółowego sposobu realizacji planu wyjścia, d) odpowiedzialności Stron, e) środki techniczne niezbędne do realizacji planu wyjścia</w:t>
      </w:r>
      <w:r w:rsidR="00ED022D" w:rsidRPr="00F0314D">
        <w:rPr>
          <w:rFonts w:eastAsia="Times New Roman" w:cstheme="minorHAnsi"/>
          <w:sz w:val="20"/>
          <w:szCs w:val="20"/>
          <w:lang w:eastAsia="el-GR"/>
        </w:rPr>
        <w:t>,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jeśli są potrzebne</w:t>
      </w:r>
      <w:r>
        <w:rPr>
          <w:rFonts w:eastAsia="Times New Roman" w:cstheme="minorHAnsi"/>
          <w:sz w:val="20"/>
          <w:szCs w:val="20"/>
          <w:lang w:eastAsia="el-GR"/>
        </w:rPr>
        <w:t>.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  </w:t>
      </w:r>
    </w:p>
    <w:p w14:paraId="43721605" w14:textId="77777777" w:rsidR="00EC0BC9" w:rsidRPr="00F0314D" w:rsidRDefault="00A53544" w:rsidP="003D3A65">
      <w:pPr>
        <w:pStyle w:val="Heading2"/>
        <w:rPr>
          <w:rFonts w:asciiTheme="minorHAnsi" w:hAnsiTheme="minorHAnsi" w:cstheme="minorHAnsi"/>
        </w:rPr>
      </w:pPr>
      <w:r w:rsidRPr="00F0314D">
        <w:rPr>
          <w:rFonts w:asciiTheme="minorHAnsi" w:hAnsiTheme="minorHAnsi" w:cstheme="minorHAnsi"/>
        </w:rPr>
        <w:t>Wymagania</w:t>
      </w:r>
      <w:r w:rsidR="004817CE" w:rsidRPr="00F0314D">
        <w:rPr>
          <w:rFonts w:asciiTheme="minorHAnsi" w:hAnsiTheme="minorHAnsi" w:cstheme="minorHAnsi"/>
        </w:rPr>
        <w:t xml:space="preserve"> dla wycofywania usługi</w:t>
      </w:r>
      <w:r w:rsidR="009633B1" w:rsidRPr="00F0314D">
        <w:rPr>
          <w:rFonts w:asciiTheme="minorHAnsi" w:hAnsiTheme="minorHAnsi" w:cstheme="minorHAnsi"/>
        </w:rPr>
        <w:t xml:space="preserve"> (sprzet, etc)</w:t>
      </w:r>
    </w:p>
    <w:p w14:paraId="0AC39B55" w14:textId="77777777" w:rsidR="009633B1" w:rsidRPr="00F0314D" w:rsidRDefault="009633B1" w:rsidP="0087408A">
      <w:pPr>
        <w:pStyle w:val="Heading2"/>
        <w:numPr>
          <w:ilvl w:val="1"/>
          <w:numId w:val="13"/>
        </w:numPr>
        <w:rPr>
          <w:rFonts w:asciiTheme="minorHAnsi" w:hAnsiTheme="minorHAnsi" w:cstheme="minorHAnsi"/>
        </w:rPr>
      </w:pPr>
      <w:r w:rsidRPr="00F0314D">
        <w:rPr>
          <w:rFonts w:asciiTheme="minorHAnsi" w:hAnsiTheme="minorHAnsi" w:cstheme="minorHAnsi"/>
        </w:rPr>
        <w:t>Scenariusz 1 migracja „on-premise”</w:t>
      </w:r>
    </w:p>
    <w:p w14:paraId="0D2AB35F" w14:textId="27C4CF6E" w:rsidR="009F31FB" w:rsidRPr="00F0314D" w:rsidRDefault="00F7357F" w:rsidP="0087408A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Należy zdefiniować parametry </w:t>
      </w:r>
      <w:r w:rsidR="00A53544" w:rsidRPr="00F0314D">
        <w:rPr>
          <w:rFonts w:eastAsia="Times New Roman" w:cstheme="minorHAnsi"/>
          <w:sz w:val="20"/>
          <w:szCs w:val="20"/>
          <w:lang w:eastAsia="el-GR"/>
        </w:rPr>
        <w:t>środowisk</w:t>
      </w:r>
      <w:r w:rsidRPr="00F0314D">
        <w:rPr>
          <w:rFonts w:eastAsia="Times New Roman" w:cstheme="minorHAnsi"/>
          <w:sz w:val="20"/>
          <w:szCs w:val="20"/>
          <w:lang w:eastAsia="el-GR"/>
        </w:rPr>
        <w:t>a</w:t>
      </w:r>
      <w:r w:rsidR="00A53544" w:rsidRPr="00F0314D">
        <w:rPr>
          <w:rFonts w:eastAsia="Times New Roman" w:cstheme="minorHAnsi"/>
          <w:sz w:val="20"/>
          <w:szCs w:val="20"/>
          <w:lang w:eastAsia="el-GR"/>
        </w:rPr>
        <w:t xml:space="preserve"> lokalne</w:t>
      </w:r>
      <w:r w:rsidRPr="00F0314D">
        <w:rPr>
          <w:rFonts w:eastAsia="Times New Roman" w:cstheme="minorHAnsi"/>
          <w:sz w:val="20"/>
          <w:szCs w:val="20"/>
          <w:lang w:eastAsia="el-GR"/>
        </w:rPr>
        <w:t>go</w:t>
      </w:r>
      <w:r w:rsidR="00A53544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w zakresie </w:t>
      </w:r>
      <w:r w:rsidR="00A53544" w:rsidRPr="00F0314D">
        <w:rPr>
          <w:rFonts w:eastAsia="Times New Roman" w:cstheme="minorHAnsi"/>
          <w:sz w:val="20"/>
          <w:szCs w:val="20"/>
          <w:lang w:eastAsia="el-GR"/>
        </w:rPr>
        <w:t>dostępnoś</w:t>
      </w:r>
      <w:r w:rsidRPr="00F0314D">
        <w:rPr>
          <w:rFonts w:eastAsia="Times New Roman" w:cstheme="minorHAnsi"/>
          <w:sz w:val="20"/>
          <w:szCs w:val="20"/>
          <w:lang w:eastAsia="el-GR"/>
        </w:rPr>
        <w:t>ci</w:t>
      </w:r>
      <w:r w:rsidR="00A53544" w:rsidRPr="00F0314D">
        <w:rPr>
          <w:rFonts w:eastAsia="Times New Roman" w:cstheme="minorHAnsi"/>
          <w:sz w:val="20"/>
          <w:szCs w:val="20"/>
          <w:lang w:eastAsia="el-GR"/>
        </w:rPr>
        <w:t>, wydajności i pojemnoś</w:t>
      </w:r>
      <w:r w:rsidR="003A474B">
        <w:rPr>
          <w:rFonts w:eastAsia="Times New Roman" w:cstheme="minorHAnsi"/>
          <w:sz w:val="20"/>
          <w:szCs w:val="20"/>
          <w:lang w:eastAsia="el-GR"/>
        </w:rPr>
        <w:t>ci</w:t>
      </w:r>
      <w:r w:rsidR="00A53544" w:rsidRPr="00F0314D">
        <w:rPr>
          <w:rFonts w:eastAsia="Times New Roman" w:cstheme="minorHAnsi"/>
          <w:sz w:val="20"/>
          <w:szCs w:val="20"/>
          <w:lang w:eastAsia="el-GR"/>
        </w:rPr>
        <w:t xml:space="preserve"> w celu przejęcia </w:t>
      </w:r>
      <w:r w:rsidR="00DD711B">
        <w:rPr>
          <w:rFonts w:eastAsia="Times New Roman" w:cstheme="minorHAnsi"/>
          <w:sz w:val="20"/>
          <w:szCs w:val="20"/>
          <w:lang w:eastAsia="el-GR"/>
        </w:rPr>
        <w:t>U</w:t>
      </w:r>
      <w:r w:rsidR="00A53544" w:rsidRPr="00F0314D">
        <w:rPr>
          <w:rFonts w:eastAsia="Times New Roman" w:cstheme="minorHAnsi"/>
          <w:sz w:val="20"/>
          <w:szCs w:val="20"/>
          <w:lang w:eastAsia="el-GR"/>
        </w:rPr>
        <w:t xml:space="preserve">sługi </w:t>
      </w:r>
      <w:r w:rsidR="005772D5">
        <w:rPr>
          <w:rFonts w:eastAsia="Times New Roman" w:cstheme="minorHAnsi"/>
          <w:sz w:val="20"/>
          <w:szCs w:val="20"/>
          <w:lang w:eastAsia="el-GR"/>
        </w:rPr>
        <w:t>chmury obliczeniowej</w:t>
      </w:r>
      <w:r w:rsidR="00A53544" w:rsidRPr="00F0314D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w </w:t>
      </w:r>
      <w:r w:rsidR="00A53544" w:rsidRPr="00F0314D">
        <w:rPr>
          <w:rFonts w:eastAsia="Times New Roman" w:cstheme="minorHAnsi"/>
          <w:sz w:val="20"/>
          <w:szCs w:val="20"/>
          <w:lang w:eastAsia="el-GR"/>
        </w:rPr>
        <w:t>które</w:t>
      </w:r>
      <w:r w:rsidRPr="00F0314D">
        <w:rPr>
          <w:rFonts w:eastAsia="Times New Roman" w:cstheme="minorHAnsi"/>
          <w:sz w:val="20"/>
          <w:szCs w:val="20"/>
          <w:lang w:eastAsia="el-GR"/>
        </w:rPr>
        <w:t>j</w:t>
      </w:r>
      <w:r w:rsidR="00A53544" w:rsidRPr="00F0314D">
        <w:rPr>
          <w:rFonts w:eastAsia="Times New Roman" w:cstheme="minorHAnsi"/>
          <w:sz w:val="20"/>
          <w:szCs w:val="20"/>
          <w:lang w:eastAsia="el-GR"/>
        </w:rPr>
        <w:t xml:space="preserve"> się w niej znajdują.</w:t>
      </w:r>
      <w:r w:rsidR="009633B1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14:paraId="3A2FEC6C" w14:textId="77777777" w:rsidR="009F31FB" w:rsidRPr="00F0314D" w:rsidRDefault="009F31FB" w:rsidP="0087408A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>Plan wyjścia powinien w szczególności obejmować także:</w:t>
      </w:r>
    </w:p>
    <w:p w14:paraId="5B8DCBD1" w14:textId="44567638" w:rsidR="009F31FB" w:rsidRPr="00F0314D" w:rsidRDefault="009F31FB" w:rsidP="0087408A">
      <w:pPr>
        <w:numPr>
          <w:ilvl w:val="1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wyznaczenie dedykowanych managerów odpowiedzialnych za przeprowadzenie procesu transferu </w:t>
      </w:r>
      <w:r w:rsidR="00DD711B">
        <w:rPr>
          <w:rFonts w:eastAsia="Times New Roman" w:cstheme="minorHAnsi"/>
          <w:sz w:val="20"/>
          <w:szCs w:val="20"/>
          <w:lang w:eastAsia="el-GR"/>
        </w:rPr>
        <w:t>U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sług </w:t>
      </w:r>
      <w:r w:rsidR="005772D5">
        <w:rPr>
          <w:rFonts w:eastAsia="Times New Roman" w:cstheme="minorHAnsi"/>
          <w:sz w:val="20"/>
          <w:szCs w:val="20"/>
          <w:lang w:eastAsia="el-GR"/>
        </w:rPr>
        <w:t>chmury obliczeniowej</w:t>
      </w:r>
      <w:r w:rsidR="006A227C">
        <w:rPr>
          <w:rFonts w:eastAsia="Times New Roman" w:cstheme="minorHAnsi"/>
          <w:sz w:val="20"/>
          <w:szCs w:val="20"/>
          <w:lang w:eastAsia="el-GR"/>
        </w:rPr>
        <w:t>;</w:t>
      </w:r>
    </w:p>
    <w:p w14:paraId="69D0EFEF" w14:textId="1E81B9F3" w:rsidR="009F31FB" w:rsidRPr="00F0314D" w:rsidRDefault="009F31FB" w:rsidP="0087408A">
      <w:pPr>
        <w:numPr>
          <w:ilvl w:val="1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przygotowanie, w uzgodniony przez Strony sposób, do transportu całości sprzętu </w:t>
      </w:r>
      <w:r w:rsidR="005772D5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Pr="00F0314D">
        <w:rPr>
          <w:rFonts w:eastAsia="Times New Roman" w:cstheme="minorHAnsi"/>
          <w:sz w:val="20"/>
          <w:szCs w:val="20"/>
          <w:lang w:eastAsia="el-GR"/>
        </w:rPr>
        <w:t>, jeżeli taki był elementem świadczenia usług</w:t>
      </w:r>
      <w:r w:rsidR="006A227C">
        <w:rPr>
          <w:rFonts w:eastAsia="Times New Roman" w:cstheme="minorHAnsi"/>
          <w:sz w:val="20"/>
          <w:szCs w:val="20"/>
          <w:lang w:eastAsia="el-GR"/>
        </w:rPr>
        <w:t>;</w:t>
      </w:r>
    </w:p>
    <w:p w14:paraId="0F9189F4" w14:textId="0853D58E" w:rsidR="009F31FB" w:rsidRPr="00F0314D" w:rsidRDefault="009F31FB" w:rsidP="0087408A">
      <w:pPr>
        <w:numPr>
          <w:ilvl w:val="1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lastRenderedPageBreak/>
        <w:t xml:space="preserve">wydanie </w:t>
      </w:r>
      <w:r w:rsidR="005772D5">
        <w:rPr>
          <w:rFonts w:eastAsia="Times New Roman" w:cstheme="minorHAnsi"/>
          <w:sz w:val="20"/>
          <w:szCs w:val="20"/>
          <w:lang w:eastAsia="el-GR"/>
        </w:rPr>
        <w:t>Zakładowi Ubezpieczeń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haseł i loginów pozwalających na dalsze korzystanie z danych </w:t>
      </w:r>
      <w:r w:rsidR="005772D5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Pr="00F0314D">
        <w:rPr>
          <w:rFonts w:eastAsia="Times New Roman" w:cstheme="minorHAnsi"/>
          <w:sz w:val="20"/>
          <w:szCs w:val="20"/>
          <w:lang w:eastAsia="el-GR"/>
        </w:rPr>
        <w:t>, w tym haseł i loginów do baz danych oraz wszystkich systemów objętych usługami</w:t>
      </w:r>
      <w:r w:rsidR="006A227C">
        <w:rPr>
          <w:rFonts w:eastAsia="Times New Roman" w:cstheme="minorHAnsi"/>
          <w:sz w:val="20"/>
          <w:szCs w:val="20"/>
          <w:lang w:eastAsia="el-GR"/>
        </w:rPr>
        <w:t>;</w:t>
      </w:r>
    </w:p>
    <w:p w14:paraId="5D661F38" w14:textId="1BD78E30" w:rsidR="009F31FB" w:rsidRPr="00F0314D" w:rsidRDefault="006A227C" w:rsidP="0087408A">
      <w:pPr>
        <w:numPr>
          <w:ilvl w:val="1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>przekazani</w:t>
      </w:r>
      <w:r>
        <w:rPr>
          <w:rFonts w:eastAsia="Times New Roman" w:cstheme="minorHAnsi"/>
          <w:sz w:val="20"/>
          <w:szCs w:val="20"/>
          <w:lang w:eastAsia="el-GR"/>
        </w:rPr>
        <w:t>e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>przez Dostawcę usług chmur</w:t>
      </w:r>
      <w:r w:rsidR="005772D5">
        <w:rPr>
          <w:rFonts w:eastAsia="Times New Roman" w:cstheme="minorHAnsi"/>
          <w:sz w:val="20"/>
          <w:szCs w:val="20"/>
          <w:lang w:eastAsia="el-GR"/>
        </w:rPr>
        <w:t>y obliczeniowej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wszystkich informacji dotyczących sposobu dostarczania i obsługi świadczonych usług istotnych z punktu widzenia przeniesienia usług i przekazania kompetencji utrzymaniowych innemu podmiotowi</w:t>
      </w:r>
      <w:r>
        <w:rPr>
          <w:rFonts w:eastAsia="Times New Roman" w:cstheme="minorHAnsi"/>
          <w:sz w:val="20"/>
          <w:szCs w:val="20"/>
          <w:lang w:eastAsia="el-GR"/>
        </w:rPr>
        <w:t>;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 </w:t>
      </w:r>
    </w:p>
    <w:p w14:paraId="31C88F6C" w14:textId="042E5AAA" w:rsidR="009F31FB" w:rsidRPr="00F0314D" w:rsidRDefault="009F31FB" w:rsidP="0087408A">
      <w:pPr>
        <w:numPr>
          <w:ilvl w:val="1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>zapewnieni</w:t>
      </w:r>
      <w:r w:rsidR="006A227C">
        <w:rPr>
          <w:rFonts w:eastAsia="Times New Roman" w:cstheme="minorHAnsi"/>
          <w:sz w:val="20"/>
          <w:szCs w:val="20"/>
          <w:lang w:eastAsia="el-GR"/>
        </w:rPr>
        <w:t>e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po stronie Dostawcy usług </w:t>
      </w:r>
      <w:r w:rsidR="005772D5" w:rsidRPr="00F0314D">
        <w:rPr>
          <w:rFonts w:eastAsia="Times New Roman" w:cstheme="minorHAnsi"/>
          <w:sz w:val="20"/>
          <w:szCs w:val="20"/>
          <w:lang w:eastAsia="el-GR"/>
        </w:rPr>
        <w:t>chmur</w:t>
      </w:r>
      <w:r w:rsidR="005772D5">
        <w:rPr>
          <w:rFonts w:eastAsia="Times New Roman" w:cstheme="minorHAnsi"/>
          <w:sz w:val="20"/>
          <w:szCs w:val="20"/>
          <w:lang w:eastAsia="el-GR"/>
        </w:rPr>
        <w:t>y obliczeniowej</w:t>
      </w:r>
      <w:r w:rsidR="005772D5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bezpiecznego połączenia teleinformatycznego platformy, wykorzystywanej do świadczenia </w:t>
      </w:r>
      <w:r w:rsidR="00DD711B">
        <w:rPr>
          <w:rFonts w:eastAsia="Times New Roman" w:cstheme="minorHAnsi"/>
          <w:sz w:val="20"/>
          <w:szCs w:val="20"/>
          <w:lang w:eastAsia="el-GR"/>
        </w:rPr>
        <w:t>U</w:t>
      </w:r>
      <w:r w:rsidRPr="00F0314D">
        <w:rPr>
          <w:rFonts w:eastAsia="Times New Roman" w:cstheme="minorHAnsi"/>
          <w:sz w:val="20"/>
          <w:szCs w:val="20"/>
          <w:lang w:eastAsia="el-GR"/>
        </w:rPr>
        <w:t>sług chmur</w:t>
      </w:r>
      <w:r w:rsidR="005772D5">
        <w:rPr>
          <w:rFonts w:eastAsia="Times New Roman" w:cstheme="minorHAnsi"/>
          <w:sz w:val="20"/>
          <w:szCs w:val="20"/>
          <w:lang w:eastAsia="el-GR"/>
        </w:rPr>
        <w:t>y obliczeniowej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, do systemu informatycznego wskazanego przez </w:t>
      </w:r>
      <w:r w:rsidR="005772D5">
        <w:rPr>
          <w:rFonts w:eastAsia="Times New Roman" w:cstheme="minorHAnsi"/>
          <w:sz w:val="20"/>
          <w:szCs w:val="20"/>
          <w:lang w:eastAsia="el-GR"/>
        </w:rPr>
        <w:t>Zakład Ubezpieczeń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, z wykorzystaniem bezpiecznej sieci teleinformatycznej, w celu przeprowadzenia transferu danych </w:t>
      </w:r>
      <w:r w:rsidR="005772D5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="006A227C">
        <w:rPr>
          <w:rFonts w:eastAsia="Times New Roman" w:cstheme="minorHAnsi"/>
          <w:sz w:val="20"/>
          <w:szCs w:val="20"/>
          <w:lang w:eastAsia="el-GR"/>
        </w:rPr>
        <w:t>;</w:t>
      </w:r>
    </w:p>
    <w:p w14:paraId="7632E12C" w14:textId="2795FBF5" w:rsidR="009F31FB" w:rsidRPr="00F0314D" w:rsidRDefault="005772D5" w:rsidP="0087408A">
      <w:pPr>
        <w:numPr>
          <w:ilvl w:val="1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z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>apewnienie</w:t>
      </w:r>
      <w:r w:rsidR="00EC0BC9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przez </w:t>
      </w:r>
      <w:r>
        <w:rPr>
          <w:rFonts w:eastAsia="Times New Roman" w:cstheme="minorHAnsi"/>
          <w:sz w:val="20"/>
          <w:szCs w:val="20"/>
          <w:lang w:eastAsia="el-GR"/>
        </w:rPr>
        <w:t>Zakład Ubezpieczeń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środków technicznych po stronie systemu informatycznego </w:t>
      </w:r>
      <w:r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 umożliwiających zestawienie połączenia teleinformatycznego</w:t>
      </w:r>
      <w:r w:rsidR="006A227C">
        <w:rPr>
          <w:rFonts w:eastAsia="Times New Roman" w:cstheme="minorHAnsi"/>
          <w:sz w:val="20"/>
          <w:szCs w:val="20"/>
          <w:lang w:eastAsia="el-GR"/>
        </w:rPr>
        <w:t>;</w:t>
      </w:r>
    </w:p>
    <w:p w14:paraId="18F54501" w14:textId="7FDE5F26" w:rsidR="009F31FB" w:rsidRPr="00F0314D" w:rsidRDefault="009F31FB" w:rsidP="0087408A">
      <w:pPr>
        <w:numPr>
          <w:ilvl w:val="1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zapewnienie transferu do systemu teleinformatycznego wskazanego przez </w:t>
      </w:r>
      <w:r w:rsidR="005772D5">
        <w:rPr>
          <w:rFonts w:eastAsia="Times New Roman" w:cstheme="minorHAnsi"/>
          <w:sz w:val="20"/>
          <w:szCs w:val="20"/>
          <w:lang w:eastAsia="el-GR"/>
        </w:rPr>
        <w:t>Zakład Ubezpieczeń</w:t>
      </w:r>
      <w:r w:rsidR="005772D5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całości danych </w:t>
      </w:r>
      <w:r w:rsidR="005772D5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, w sposób zapewniający ich pełne bezpieczeństwo oraz integralność, i poziom transferu umożliwiający sprawne przeniesienie wszystkich danych </w:t>
      </w:r>
      <w:r w:rsidR="005772D5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w czasie uzgodnionym przez Strony, a także wydania wszystkich kopii zapasowych danych </w:t>
      </w:r>
      <w:r w:rsidR="005772D5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(o ile były sporządzane zgodnie z Umową)</w:t>
      </w:r>
      <w:r w:rsidR="006A227C">
        <w:rPr>
          <w:rFonts w:eastAsia="Times New Roman" w:cstheme="minorHAnsi"/>
          <w:sz w:val="20"/>
          <w:szCs w:val="20"/>
          <w:lang w:eastAsia="el-GR"/>
        </w:rPr>
        <w:t>;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  </w:t>
      </w:r>
    </w:p>
    <w:p w14:paraId="1465001F" w14:textId="7CD38385" w:rsidR="009F31FB" w:rsidRPr="00F0314D" w:rsidRDefault="009F31FB" w:rsidP="0087408A">
      <w:pPr>
        <w:numPr>
          <w:ilvl w:val="1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>przekazanie przez Dostawc</w:t>
      </w:r>
      <w:r w:rsidR="005772D5">
        <w:rPr>
          <w:rFonts w:eastAsia="Times New Roman" w:cstheme="minorHAnsi"/>
          <w:sz w:val="20"/>
          <w:szCs w:val="20"/>
          <w:lang w:eastAsia="el-GR"/>
        </w:rPr>
        <w:t>ę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usług chmur</w:t>
      </w:r>
      <w:r w:rsidR="005772D5">
        <w:rPr>
          <w:rFonts w:eastAsia="Times New Roman" w:cstheme="minorHAnsi"/>
          <w:sz w:val="20"/>
          <w:szCs w:val="20"/>
          <w:lang w:eastAsia="el-GR"/>
        </w:rPr>
        <w:t>y obliczeniowej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wiedzy specyficznej dla realizowanych </w:t>
      </w:r>
      <w:r w:rsidR="00DD711B">
        <w:rPr>
          <w:rFonts w:eastAsia="Times New Roman" w:cstheme="minorHAnsi"/>
          <w:sz w:val="20"/>
          <w:szCs w:val="20"/>
          <w:lang w:eastAsia="el-GR"/>
        </w:rPr>
        <w:t>U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sług </w:t>
      </w:r>
      <w:r w:rsidR="005772D5" w:rsidRPr="00F0314D">
        <w:rPr>
          <w:rFonts w:eastAsia="Times New Roman" w:cstheme="minorHAnsi"/>
          <w:sz w:val="20"/>
          <w:szCs w:val="20"/>
          <w:lang w:eastAsia="el-GR"/>
        </w:rPr>
        <w:t>chmur</w:t>
      </w:r>
      <w:r w:rsidR="005772D5">
        <w:rPr>
          <w:rFonts w:eastAsia="Times New Roman" w:cstheme="minorHAnsi"/>
          <w:sz w:val="20"/>
          <w:szCs w:val="20"/>
          <w:lang w:eastAsia="el-GR"/>
        </w:rPr>
        <w:t>y obliczeniowej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, w takim zakresie, w jakim będzie to niezbędne do dalszej realizacji usług przez </w:t>
      </w:r>
      <w:r w:rsidR="005772D5">
        <w:rPr>
          <w:rFonts w:eastAsia="Times New Roman" w:cstheme="minorHAnsi"/>
          <w:sz w:val="20"/>
          <w:szCs w:val="20"/>
          <w:lang w:eastAsia="el-GR"/>
        </w:rPr>
        <w:t>Zakład Ubezpieczeń</w:t>
      </w:r>
      <w:r w:rsidR="005772D5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lub podmiot trzeci wskazany przez </w:t>
      </w:r>
      <w:r w:rsidR="005772D5">
        <w:rPr>
          <w:rFonts w:eastAsia="Times New Roman" w:cstheme="minorHAnsi"/>
          <w:sz w:val="20"/>
          <w:szCs w:val="20"/>
          <w:lang w:eastAsia="el-GR"/>
        </w:rPr>
        <w:t>Zakład Ubezpieczeń</w:t>
      </w:r>
      <w:r w:rsidR="006A227C">
        <w:rPr>
          <w:rFonts w:eastAsia="Times New Roman" w:cstheme="minorHAnsi"/>
          <w:sz w:val="20"/>
          <w:szCs w:val="20"/>
          <w:lang w:eastAsia="el-GR"/>
        </w:rPr>
        <w:t>;</w:t>
      </w:r>
    </w:p>
    <w:p w14:paraId="01C2670E" w14:textId="08C1A5A5" w:rsidR="009F31FB" w:rsidRPr="00F0314D" w:rsidRDefault="009F31FB" w:rsidP="0087408A">
      <w:pPr>
        <w:numPr>
          <w:ilvl w:val="1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niezwłocznie po zakończeniu świadczenia </w:t>
      </w:r>
      <w:r w:rsidR="00DD711B">
        <w:rPr>
          <w:rFonts w:eastAsia="Times New Roman" w:cstheme="minorHAnsi"/>
          <w:sz w:val="20"/>
          <w:szCs w:val="20"/>
          <w:lang w:eastAsia="el-GR"/>
        </w:rPr>
        <w:t>U</w:t>
      </w:r>
      <w:r w:rsidRPr="00F0314D">
        <w:rPr>
          <w:rFonts w:eastAsia="Times New Roman" w:cstheme="minorHAnsi"/>
          <w:sz w:val="20"/>
          <w:szCs w:val="20"/>
          <w:lang w:eastAsia="el-GR"/>
        </w:rPr>
        <w:t>sług chmu</w:t>
      </w:r>
      <w:r w:rsidR="00BA0C33">
        <w:rPr>
          <w:rFonts w:eastAsia="Times New Roman" w:cstheme="minorHAnsi"/>
          <w:sz w:val="20"/>
          <w:szCs w:val="20"/>
          <w:lang w:eastAsia="el-GR"/>
        </w:rPr>
        <w:t>ry obliczeniowej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usunięcie  przez Dostawc</w:t>
      </w:r>
      <w:r w:rsidR="00BA0C33">
        <w:rPr>
          <w:rFonts w:eastAsia="Times New Roman" w:cstheme="minorHAnsi"/>
          <w:sz w:val="20"/>
          <w:szCs w:val="20"/>
          <w:lang w:eastAsia="el-GR"/>
        </w:rPr>
        <w:t>ę usług chmury obliczeniowej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oraz </w:t>
      </w:r>
      <w:r w:rsidR="00BA0C33">
        <w:rPr>
          <w:rFonts w:eastAsia="Times New Roman" w:cstheme="minorHAnsi"/>
          <w:sz w:val="20"/>
          <w:szCs w:val="20"/>
          <w:lang w:eastAsia="el-GR"/>
        </w:rPr>
        <w:t>P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odwykonawców Dostawcy usług </w:t>
      </w:r>
      <w:r w:rsidR="00BA0C33" w:rsidRPr="00F0314D">
        <w:rPr>
          <w:rFonts w:eastAsia="Times New Roman" w:cstheme="minorHAnsi"/>
          <w:sz w:val="20"/>
          <w:szCs w:val="20"/>
          <w:lang w:eastAsia="el-GR"/>
        </w:rPr>
        <w:t>chmur</w:t>
      </w:r>
      <w:r w:rsidR="00BA0C33">
        <w:rPr>
          <w:rFonts w:eastAsia="Times New Roman" w:cstheme="minorHAnsi"/>
          <w:sz w:val="20"/>
          <w:szCs w:val="20"/>
          <w:lang w:eastAsia="el-GR"/>
        </w:rPr>
        <w:t>y obliczeniowej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, w sposób trwały oraz zgodny z najlepszymi praktykami w tym zakresie, całości ewentualnie posiadanych kopii danych </w:t>
      </w:r>
      <w:r w:rsidR="00BA0C33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="00BA0C33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(po uprzednim transferze takich danych do </w:t>
      </w:r>
      <w:r w:rsidR="00BA0C33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="00BA0C33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lub podmiotu wskazanego przez </w:t>
      </w:r>
      <w:r w:rsidR="00BA0C33">
        <w:rPr>
          <w:rFonts w:eastAsia="Times New Roman" w:cstheme="minorHAnsi"/>
          <w:sz w:val="20"/>
          <w:szCs w:val="20"/>
          <w:lang w:eastAsia="el-GR"/>
        </w:rPr>
        <w:t>Zakład Ubezpieczeń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) oraz wszystkich danych i informacji (np. plików konfiguracyjnych specyficznie wykorzystywanych dla danego </w:t>
      </w:r>
      <w:r w:rsidR="00BA0C33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="00BA0C33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a nie stanowiących </w:t>
      </w:r>
      <w:r w:rsidR="00BA0C33" w:rsidRPr="00F0314D">
        <w:rPr>
          <w:rFonts w:eastAsia="Times New Roman" w:cstheme="minorHAnsi"/>
          <w:sz w:val="20"/>
          <w:szCs w:val="20"/>
          <w:lang w:eastAsia="el-GR"/>
        </w:rPr>
        <w:t>częś</w:t>
      </w:r>
      <w:r w:rsidR="00BA0C33">
        <w:rPr>
          <w:rFonts w:eastAsia="Times New Roman" w:cstheme="minorHAnsi"/>
          <w:sz w:val="20"/>
          <w:szCs w:val="20"/>
          <w:lang w:eastAsia="el-GR"/>
        </w:rPr>
        <w:t>ci</w:t>
      </w:r>
      <w:r w:rsidR="00BA0C33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BA0C33">
        <w:rPr>
          <w:rFonts w:eastAsia="Times New Roman" w:cstheme="minorHAnsi"/>
          <w:sz w:val="20"/>
          <w:szCs w:val="20"/>
          <w:lang w:eastAsia="el-GR"/>
        </w:rPr>
        <w:t>u</w:t>
      </w:r>
      <w:r w:rsidRPr="00F0314D">
        <w:rPr>
          <w:rFonts w:eastAsia="Times New Roman" w:cstheme="minorHAnsi"/>
          <w:sz w:val="20"/>
          <w:szCs w:val="20"/>
          <w:lang w:eastAsia="el-GR"/>
        </w:rPr>
        <w:t>sług</w:t>
      </w:r>
      <w:r w:rsidR="00BA0C33">
        <w:rPr>
          <w:rFonts w:eastAsia="Times New Roman" w:cstheme="minorHAnsi"/>
          <w:sz w:val="20"/>
          <w:szCs w:val="20"/>
          <w:lang w:eastAsia="el-GR"/>
        </w:rPr>
        <w:t xml:space="preserve"> dostarczanych przez Dostawcę usług chmury obliczeniowej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) wykorzystywanych do konfiguracji, obsługi, backupu i archiwizacji systemu lub poszczególnych jego elementów. </w:t>
      </w:r>
    </w:p>
    <w:p w14:paraId="19F823A2" w14:textId="77777777" w:rsidR="008C30F8" w:rsidRPr="00F0314D" w:rsidRDefault="008C30F8" w:rsidP="0087408A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>Wymagania uwzględniają:</w:t>
      </w:r>
    </w:p>
    <w:p w14:paraId="5F7BC363" w14:textId="07FC65C4" w:rsidR="00CF79C7" w:rsidRPr="00F0314D" w:rsidRDefault="00C26EA4" w:rsidP="0087408A">
      <w:pPr>
        <w:numPr>
          <w:ilvl w:val="1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o</w:t>
      </w:r>
      <w:r w:rsidR="00CF79C7" w:rsidRPr="00F0314D">
        <w:rPr>
          <w:rFonts w:eastAsia="Times New Roman" w:cstheme="minorHAnsi"/>
          <w:sz w:val="20"/>
          <w:szCs w:val="20"/>
          <w:lang w:eastAsia="el-GR"/>
        </w:rPr>
        <w:t>dpowiednią ilość serwerów</w:t>
      </w:r>
      <w:r w:rsidR="00F7357F" w:rsidRPr="00F0314D">
        <w:rPr>
          <w:rFonts w:eastAsia="Times New Roman" w:cstheme="minorHAnsi"/>
          <w:sz w:val="20"/>
          <w:szCs w:val="20"/>
          <w:lang w:eastAsia="el-GR"/>
        </w:rPr>
        <w:t xml:space="preserve"> wraz </w:t>
      </w:r>
      <w:r w:rsidR="00D136A9" w:rsidRPr="00F0314D">
        <w:rPr>
          <w:rFonts w:eastAsia="Times New Roman" w:cstheme="minorHAnsi"/>
          <w:sz w:val="20"/>
          <w:szCs w:val="20"/>
          <w:lang w:eastAsia="el-GR"/>
        </w:rPr>
        <w:t xml:space="preserve">z 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 xml:space="preserve">określeniem ich </w:t>
      </w:r>
      <w:r w:rsidR="00CF79C7" w:rsidRPr="00F0314D">
        <w:rPr>
          <w:rFonts w:eastAsia="Times New Roman" w:cstheme="minorHAnsi"/>
          <w:sz w:val="20"/>
          <w:szCs w:val="20"/>
          <w:lang w:eastAsia="el-GR"/>
        </w:rPr>
        <w:t>lokalizacj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>i w centrach danych</w:t>
      </w:r>
      <w:r w:rsidR="006A227C">
        <w:rPr>
          <w:rFonts w:eastAsia="Times New Roman" w:cstheme="minorHAnsi"/>
          <w:sz w:val="20"/>
          <w:szCs w:val="20"/>
          <w:lang w:eastAsia="el-GR"/>
        </w:rPr>
        <w:t>;</w:t>
      </w:r>
    </w:p>
    <w:p w14:paraId="2A038D06" w14:textId="2C79372C" w:rsidR="00886F17" w:rsidRPr="00F0314D" w:rsidRDefault="00C26EA4" w:rsidP="0087408A">
      <w:pPr>
        <w:numPr>
          <w:ilvl w:val="1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p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>rzewidują wolne miejsce w centrach danych wraz z zapewnieniem fizycznej możliwości wpięcia w infrastrukturę</w:t>
      </w:r>
      <w:r w:rsidR="006A227C">
        <w:rPr>
          <w:rFonts w:eastAsia="Times New Roman" w:cstheme="minorHAnsi"/>
          <w:sz w:val="20"/>
          <w:szCs w:val="20"/>
          <w:lang w:eastAsia="el-GR"/>
        </w:rPr>
        <w:t>;</w:t>
      </w:r>
    </w:p>
    <w:p w14:paraId="6545F3C6" w14:textId="41465FA3" w:rsidR="00CF79C7" w:rsidRPr="00F0314D" w:rsidRDefault="00C26EA4" w:rsidP="0087408A">
      <w:pPr>
        <w:numPr>
          <w:ilvl w:val="1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o</w:t>
      </w:r>
      <w:r w:rsidR="00CF79C7" w:rsidRPr="00F0314D">
        <w:rPr>
          <w:rFonts w:eastAsia="Times New Roman" w:cstheme="minorHAnsi"/>
          <w:sz w:val="20"/>
          <w:szCs w:val="20"/>
          <w:lang w:eastAsia="el-GR"/>
        </w:rPr>
        <w:t>dpowiednią konfigurację serwerów, zapewniającą odpowiednią wydajność, (odpowiednia ilość procesorów, odpowiednia ilość pamięci RAM, odpowiednie połączenia sieciowe, odpowiednie zasoby dyskowe);</w:t>
      </w:r>
    </w:p>
    <w:p w14:paraId="47A5CF8A" w14:textId="147BF8CA" w:rsidR="00886F17" w:rsidRPr="00F0314D" w:rsidRDefault="00C26EA4" w:rsidP="0087408A">
      <w:pPr>
        <w:numPr>
          <w:ilvl w:val="1"/>
          <w:numId w:val="10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el-GR"/>
        </w:rPr>
        <w:t>o</w:t>
      </w:r>
      <w:r w:rsidR="00CF79C7" w:rsidRPr="00F0314D">
        <w:rPr>
          <w:rFonts w:eastAsia="Times New Roman" w:cstheme="minorHAnsi"/>
          <w:sz w:val="20"/>
          <w:szCs w:val="20"/>
          <w:lang w:eastAsia="el-GR"/>
        </w:rPr>
        <w:t xml:space="preserve">dpowiednią ilość przestrzeni dyskowej, która jest niezbędna do przejęcia danych przechowywanych 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 xml:space="preserve">w </w:t>
      </w:r>
      <w:r w:rsidR="008B39EA">
        <w:rPr>
          <w:rFonts w:eastAsia="Times New Roman" w:cstheme="minorHAnsi"/>
          <w:sz w:val="20"/>
          <w:szCs w:val="20"/>
          <w:lang w:eastAsia="el-GR"/>
        </w:rPr>
        <w:t>U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 xml:space="preserve">słudze </w:t>
      </w:r>
      <w:r w:rsidR="00BA0C33">
        <w:rPr>
          <w:rFonts w:eastAsia="Times New Roman" w:cstheme="minorHAnsi"/>
          <w:sz w:val="20"/>
          <w:szCs w:val="20"/>
          <w:lang w:eastAsia="el-GR"/>
        </w:rPr>
        <w:t>chmury obliczeniowej</w:t>
      </w:r>
      <w:r w:rsidR="00CF79C7" w:rsidRPr="00F0314D">
        <w:rPr>
          <w:rFonts w:eastAsia="Times New Roman" w:cstheme="minorHAnsi"/>
          <w:sz w:val="20"/>
          <w:szCs w:val="20"/>
          <w:lang w:eastAsia="el-GR"/>
        </w:rPr>
        <w:t>.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 xml:space="preserve"> Przestrzeń ta musi zostać przewidziane na okres jednego roku i aktualizowana</w:t>
      </w:r>
      <w:r w:rsidR="00886F17" w:rsidRPr="00F0314D">
        <w:rPr>
          <w:rFonts w:cstheme="minorHAnsi"/>
          <w:sz w:val="20"/>
          <w:szCs w:val="20"/>
        </w:rPr>
        <w:t xml:space="preserve"> raz do roku w planie przełączenia.</w:t>
      </w:r>
    </w:p>
    <w:p w14:paraId="3F17CE74" w14:textId="0D68F791" w:rsidR="00886F17" w:rsidRPr="00F0314D" w:rsidRDefault="00886F17" w:rsidP="0087408A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>Zdefiniowane środowisko jest dostępne w jednym z poniższych podejść</w:t>
      </w:r>
      <w:r w:rsidR="00C26EA4">
        <w:rPr>
          <w:rFonts w:eastAsia="Times New Roman" w:cstheme="minorHAnsi"/>
          <w:sz w:val="20"/>
          <w:szCs w:val="20"/>
          <w:lang w:eastAsia="el-GR"/>
        </w:rPr>
        <w:t>:</w:t>
      </w:r>
    </w:p>
    <w:p w14:paraId="0F581282" w14:textId="73041008" w:rsidR="00886F17" w:rsidRPr="00F0314D" w:rsidRDefault="00886F17" w:rsidP="0087408A">
      <w:pPr>
        <w:numPr>
          <w:ilvl w:val="1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>fizycznie zakupione i skonfigurowane na potrzeby migracji</w:t>
      </w:r>
      <w:r w:rsidR="006A227C">
        <w:rPr>
          <w:rFonts w:eastAsia="Times New Roman" w:cstheme="minorHAnsi"/>
          <w:sz w:val="20"/>
          <w:szCs w:val="20"/>
          <w:lang w:eastAsia="el-GR"/>
        </w:rPr>
        <w:t>;</w:t>
      </w:r>
    </w:p>
    <w:p w14:paraId="40CABAF3" w14:textId="7DE7FB03" w:rsidR="00886F17" w:rsidRPr="00F0314D" w:rsidRDefault="00886F17" w:rsidP="0087408A">
      <w:pPr>
        <w:numPr>
          <w:ilvl w:val="1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nie zakupione, ale dostępne u producenta w podanej konfiguracji. Taka dostępność potwierdzona jest listem intencyjnym lub umową z </w:t>
      </w:r>
      <w:r w:rsidR="00DD711B">
        <w:rPr>
          <w:rFonts w:eastAsia="Times New Roman" w:cstheme="minorHAnsi"/>
          <w:sz w:val="20"/>
          <w:szCs w:val="20"/>
          <w:lang w:eastAsia="el-GR"/>
        </w:rPr>
        <w:t>D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ostawcą </w:t>
      </w:r>
      <w:r w:rsidR="00C26EA4">
        <w:rPr>
          <w:rFonts w:eastAsia="Times New Roman" w:cstheme="minorHAnsi"/>
          <w:sz w:val="20"/>
          <w:szCs w:val="20"/>
          <w:lang w:eastAsia="el-GR"/>
        </w:rPr>
        <w:t xml:space="preserve">usług chmury obliczeniowej </w:t>
      </w:r>
      <w:r w:rsidRPr="00F0314D">
        <w:rPr>
          <w:rFonts w:eastAsia="Times New Roman" w:cstheme="minorHAnsi"/>
          <w:sz w:val="20"/>
          <w:szCs w:val="20"/>
          <w:lang w:eastAsia="el-GR"/>
        </w:rPr>
        <w:t>w której określony jest czas pozyskania i dostarczenia infrastruktury</w:t>
      </w:r>
      <w:r w:rsidR="006A227C">
        <w:rPr>
          <w:rFonts w:eastAsia="Times New Roman" w:cstheme="minorHAnsi"/>
          <w:sz w:val="20"/>
          <w:szCs w:val="20"/>
          <w:lang w:eastAsia="el-GR"/>
        </w:rPr>
        <w:t>;</w:t>
      </w:r>
    </w:p>
    <w:p w14:paraId="3C72DF2F" w14:textId="4795A8E3" w:rsidR="00886F17" w:rsidRPr="00F0314D" w:rsidRDefault="00C26EA4" w:rsidP="0087408A">
      <w:pPr>
        <w:numPr>
          <w:ilvl w:val="1"/>
          <w:numId w:val="10"/>
        </w:num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el-GR"/>
        </w:rPr>
        <w:t>p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>osiadana jest infrastruktura wykorzystywana do innych celów, która może zostać w razie uruchomienia planu zwolniona i w okresie przejściowym do zakupu, może zostać użyta celem wykonania</w:t>
      </w:r>
      <w:r w:rsidR="00886F17" w:rsidRPr="00F0314D">
        <w:rPr>
          <w:rFonts w:cstheme="minorHAnsi"/>
          <w:sz w:val="20"/>
          <w:szCs w:val="20"/>
        </w:rPr>
        <w:t xml:space="preserve"> przełączenia.</w:t>
      </w:r>
    </w:p>
    <w:p w14:paraId="1DE8DEED" w14:textId="55451BE8" w:rsidR="009633B1" w:rsidRPr="00F0314D" w:rsidRDefault="009633B1" w:rsidP="0087408A">
      <w:pPr>
        <w:pStyle w:val="Heading2"/>
        <w:numPr>
          <w:ilvl w:val="1"/>
          <w:numId w:val="13"/>
        </w:numPr>
        <w:rPr>
          <w:rFonts w:asciiTheme="minorHAnsi" w:hAnsiTheme="minorHAnsi" w:cstheme="minorHAnsi"/>
        </w:rPr>
      </w:pPr>
      <w:r w:rsidRPr="00F0314D">
        <w:rPr>
          <w:rFonts w:asciiTheme="minorHAnsi" w:hAnsiTheme="minorHAnsi" w:cstheme="minorHAnsi"/>
        </w:rPr>
        <w:t>Scenariusz 2 migracja do innego dostawcy usług</w:t>
      </w:r>
      <w:r w:rsidR="0048786B">
        <w:rPr>
          <w:rFonts w:asciiTheme="minorHAnsi" w:hAnsiTheme="minorHAnsi" w:cstheme="minorHAnsi"/>
        </w:rPr>
        <w:t xml:space="preserve"> CHMURY OBLICZENIOWEJ</w:t>
      </w:r>
    </w:p>
    <w:p w14:paraId="09BCDD34" w14:textId="537CDD9C" w:rsidR="009633B1" w:rsidRPr="00F0314D" w:rsidRDefault="009633B1" w:rsidP="0087408A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Alternatywne </w:t>
      </w:r>
      <w:r w:rsidR="00DD711B">
        <w:rPr>
          <w:rFonts w:eastAsia="Times New Roman" w:cstheme="minorHAnsi"/>
          <w:sz w:val="20"/>
          <w:szCs w:val="20"/>
          <w:lang w:eastAsia="el-GR"/>
        </w:rPr>
        <w:t>U</w:t>
      </w:r>
      <w:r w:rsidRPr="00F0314D">
        <w:rPr>
          <w:rFonts w:eastAsia="Times New Roman" w:cstheme="minorHAnsi"/>
          <w:sz w:val="20"/>
          <w:szCs w:val="20"/>
          <w:lang w:eastAsia="el-GR"/>
        </w:rPr>
        <w:t>sługi chmur</w:t>
      </w:r>
      <w:r w:rsidR="00C26EA4">
        <w:rPr>
          <w:rFonts w:eastAsia="Times New Roman" w:cstheme="minorHAnsi"/>
          <w:sz w:val="20"/>
          <w:szCs w:val="20"/>
          <w:lang w:eastAsia="el-GR"/>
        </w:rPr>
        <w:t xml:space="preserve">y obliczeniowej 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wraz z </w:t>
      </w:r>
      <w:r w:rsidR="00DD711B">
        <w:rPr>
          <w:rFonts w:eastAsia="Times New Roman" w:cstheme="minorHAnsi"/>
          <w:sz w:val="20"/>
          <w:szCs w:val="20"/>
          <w:lang w:eastAsia="el-GR"/>
        </w:rPr>
        <w:t>D</w:t>
      </w:r>
      <w:r w:rsidRPr="00F0314D">
        <w:rPr>
          <w:rFonts w:eastAsia="Times New Roman" w:cstheme="minorHAnsi"/>
          <w:sz w:val="20"/>
          <w:szCs w:val="20"/>
          <w:lang w:eastAsia="el-GR"/>
        </w:rPr>
        <w:t>ostawcami</w:t>
      </w:r>
      <w:r w:rsidR="00C26EA4">
        <w:rPr>
          <w:rFonts w:eastAsia="Times New Roman" w:cstheme="minorHAnsi"/>
          <w:sz w:val="20"/>
          <w:szCs w:val="20"/>
          <w:lang w:eastAsia="el-GR"/>
        </w:rPr>
        <w:t xml:space="preserve"> usług chmury obliczeniowej</w:t>
      </w:r>
      <w:r w:rsidRPr="00F0314D">
        <w:rPr>
          <w:rFonts w:eastAsia="Times New Roman" w:cstheme="minorHAnsi"/>
          <w:sz w:val="20"/>
          <w:szCs w:val="20"/>
          <w:lang w:eastAsia="el-GR"/>
        </w:rPr>
        <w:t>, czasem uruchomienia i kosztem.</w:t>
      </w: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1696"/>
        <w:gridCol w:w="3119"/>
        <w:gridCol w:w="2693"/>
        <w:gridCol w:w="1559"/>
      </w:tblGrid>
      <w:tr w:rsidR="00EC0BC9" w:rsidRPr="00F0314D" w14:paraId="16DA9B70" w14:textId="77777777" w:rsidTr="008158B4">
        <w:trPr>
          <w:trHeight w:val="567"/>
        </w:trPr>
        <w:tc>
          <w:tcPr>
            <w:tcW w:w="1696" w:type="dxa"/>
            <w:shd w:val="clear" w:color="auto" w:fill="F2F2F2"/>
            <w:vAlign w:val="center"/>
          </w:tcPr>
          <w:p w14:paraId="2D7EC2B9" w14:textId="77777777" w:rsidR="00EC0BC9" w:rsidRPr="00F0314D" w:rsidRDefault="00EC0BC9" w:rsidP="008158B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0314D">
              <w:rPr>
                <w:rFonts w:eastAsia="Times New Roman" w:cstheme="minorHAnsi"/>
                <w:b/>
                <w:bCs/>
                <w:color w:val="1A495C"/>
                <w:spacing w:val="15"/>
                <w:sz w:val="20"/>
                <w:szCs w:val="20"/>
                <w:lang w:eastAsia="pl-PL"/>
              </w:rPr>
              <w:t>Usługa alternatywna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7300FAD6" w14:textId="77777777" w:rsidR="00EC0BC9" w:rsidRPr="00F0314D" w:rsidRDefault="00EC0BC9" w:rsidP="008158B4">
            <w:pPr>
              <w:jc w:val="center"/>
              <w:rPr>
                <w:rFonts w:eastAsia="Times New Roman" w:cstheme="minorHAnsi"/>
                <w:b/>
                <w:bCs/>
                <w:color w:val="1A495C"/>
                <w:spacing w:val="15"/>
                <w:sz w:val="20"/>
                <w:szCs w:val="20"/>
                <w:lang w:eastAsia="pl-PL"/>
              </w:rPr>
            </w:pPr>
            <w:r w:rsidRPr="00F0314D">
              <w:rPr>
                <w:rFonts w:eastAsia="Times New Roman" w:cstheme="minorHAnsi"/>
                <w:b/>
                <w:bCs/>
                <w:color w:val="1A495C"/>
                <w:spacing w:val="15"/>
                <w:sz w:val="20"/>
                <w:szCs w:val="20"/>
                <w:lang w:eastAsia="pl-PL"/>
              </w:rPr>
              <w:t>Kluczowe funkcjonaln</w:t>
            </w:r>
            <w:r w:rsidR="008158B4" w:rsidRPr="00F0314D">
              <w:rPr>
                <w:rFonts w:eastAsia="Times New Roman" w:cstheme="minorHAnsi"/>
                <w:b/>
                <w:bCs/>
                <w:color w:val="1A495C"/>
                <w:spacing w:val="15"/>
                <w:sz w:val="20"/>
                <w:szCs w:val="20"/>
                <w:lang w:eastAsia="pl-PL"/>
              </w:rPr>
              <w:t>o</w:t>
            </w:r>
            <w:r w:rsidRPr="00F0314D">
              <w:rPr>
                <w:rFonts w:eastAsia="Times New Roman" w:cstheme="minorHAnsi"/>
                <w:b/>
                <w:bCs/>
                <w:color w:val="1A495C"/>
                <w:spacing w:val="15"/>
                <w:sz w:val="20"/>
                <w:szCs w:val="20"/>
                <w:lang w:eastAsia="pl-PL"/>
              </w:rPr>
              <w:t>ści niedostępne w usłudze alternatywnej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07A3D676" w14:textId="77777777" w:rsidR="00EC0BC9" w:rsidRPr="00F0314D" w:rsidRDefault="00EC0BC9" w:rsidP="008158B4">
            <w:pPr>
              <w:jc w:val="center"/>
              <w:rPr>
                <w:rFonts w:eastAsia="Times New Roman" w:cstheme="minorHAnsi"/>
                <w:b/>
                <w:bCs/>
                <w:color w:val="1A495C"/>
                <w:spacing w:val="15"/>
                <w:sz w:val="20"/>
                <w:szCs w:val="20"/>
                <w:lang w:eastAsia="pl-PL"/>
              </w:rPr>
            </w:pPr>
            <w:r w:rsidRPr="00F0314D">
              <w:rPr>
                <w:rFonts w:eastAsia="Times New Roman" w:cstheme="minorHAnsi"/>
                <w:b/>
                <w:bCs/>
                <w:color w:val="1A495C"/>
                <w:spacing w:val="15"/>
                <w:sz w:val="20"/>
                <w:szCs w:val="20"/>
                <w:lang w:eastAsia="pl-PL"/>
              </w:rPr>
              <w:t>Czas uruchomienia usługi / Szacunkowy czas migracji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36723F1" w14:textId="77777777" w:rsidR="00EC0BC9" w:rsidRPr="00F0314D" w:rsidRDefault="00EC0BC9" w:rsidP="008158B4">
            <w:pPr>
              <w:jc w:val="center"/>
              <w:rPr>
                <w:rFonts w:eastAsia="Times New Roman" w:cstheme="minorHAnsi"/>
                <w:b/>
                <w:bCs/>
                <w:color w:val="1A495C"/>
                <w:spacing w:val="15"/>
                <w:sz w:val="20"/>
                <w:szCs w:val="20"/>
                <w:lang w:eastAsia="pl-PL"/>
              </w:rPr>
            </w:pPr>
            <w:r w:rsidRPr="00F0314D">
              <w:rPr>
                <w:rFonts w:eastAsia="Times New Roman" w:cstheme="minorHAnsi"/>
                <w:b/>
                <w:bCs/>
                <w:color w:val="1A495C"/>
                <w:spacing w:val="15"/>
                <w:sz w:val="20"/>
                <w:szCs w:val="20"/>
                <w:lang w:eastAsia="pl-PL"/>
              </w:rPr>
              <w:t>Koszt</w:t>
            </w:r>
          </w:p>
        </w:tc>
      </w:tr>
      <w:tr w:rsidR="00EC0BC9" w:rsidRPr="00F0314D" w14:paraId="7CC8B840" w14:textId="77777777" w:rsidTr="008158B4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14:paraId="5B89C4B8" w14:textId="77777777" w:rsidR="00EC0BC9" w:rsidRPr="00F0314D" w:rsidRDefault="00EC0BC9" w:rsidP="00EC0BC9">
            <w:pPr>
              <w:rPr>
                <w:rFonts w:eastAsia="Times New Roman" w:cstheme="minorHAnsi"/>
                <w:b/>
                <w:bCs/>
                <w:color w:val="1A495C"/>
                <w:spacing w:val="15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4CA70D" w14:textId="77777777" w:rsidR="00EC0BC9" w:rsidRPr="00F0314D" w:rsidRDefault="00EC0BC9" w:rsidP="00EC0BC9">
            <w:pPr>
              <w:rPr>
                <w:rFonts w:eastAsia="Times New Roman" w:cstheme="minorHAnsi"/>
                <w:b/>
                <w:bCs/>
                <w:color w:val="1A495C"/>
                <w:spacing w:val="15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B18041" w14:textId="77777777" w:rsidR="00EC0BC9" w:rsidRPr="00F0314D" w:rsidRDefault="00EC0BC9" w:rsidP="00EC0BC9">
            <w:pPr>
              <w:rPr>
                <w:rFonts w:eastAsia="Times New Roman" w:cstheme="minorHAnsi"/>
                <w:b/>
                <w:bCs/>
                <w:color w:val="1A495C"/>
                <w:spacing w:val="15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9211FC" w14:textId="77777777" w:rsidR="00EC0BC9" w:rsidRPr="00F0314D" w:rsidRDefault="00EC0BC9" w:rsidP="00EC0BC9">
            <w:pPr>
              <w:rPr>
                <w:rFonts w:eastAsia="Times New Roman" w:cstheme="minorHAnsi"/>
                <w:b/>
                <w:bCs/>
                <w:color w:val="1A495C"/>
                <w:spacing w:val="15"/>
                <w:sz w:val="20"/>
                <w:szCs w:val="20"/>
                <w:lang w:eastAsia="pl-PL"/>
              </w:rPr>
            </w:pPr>
          </w:p>
        </w:tc>
      </w:tr>
      <w:tr w:rsidR="00EC0BC9" w:rsidRPr="00F0314D" w14:paraId="197EC760" w14:textId="77777777" w:rsidTr="008158B4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14:paraId="3B5168EF" w14:textId="77777777" w:rsidR="00EC0BC9" w:rsidRPr="00F0314D" w:rsidRDefault="00EC0BC9" w:rsidP="00EC0BC9">
            <w:pPr>
              <w:rPr>
                <w:rFonts w:eastAsia="Times New Roman" w:cstheme="minorHAnsi"/>
                <w:b/>
                <w:bCs/>
                <w:color w:val="1A495C"/>
                <w:spacing w:val="15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D337210" w14:textId="77777777" w:rsidR="00EC0BC9" w:rsidRPr="00F0314D" w:rsidRDefault="00EC0BC9" w:rsidP="00EC0BC9">
            <w:pPr>
              <w:rPr>
                <w:rFonts w:eastAsia="Times New Roman" w:cstheme="minorHAnsi"/>
                <w:b/>
                <w:bCs/>
                <w:color w:val="1A495C"/>
                <w:spacing w:val="15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ABB676" w14:textId="77777777" w:rsidR="00EC0BC9" w:rsidRPr="00F0314D" w:rsidRDefault="00EC0BC9" w:rsidP="00EC0BC9">
            <w:pPr>
              <w:rPr>
                <w:rFonts w:eastAsia="Times New Roman" w:cstheme="minorHAnsi"/>
                <w:b/>
                <w:bCs/>
                <w:color w:val="1A495C"/>
                <w:spacing w:val="15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83C73A" w14:textId="77777777" w:rsidR="00EC0BC9" w:rsidRPr="00F0314D" w:rsidRDefault="00EC0BC9" w:rsidP="00EC0BC9">
            <w:pPr>
              <w:rPr>
                <w:rFonts w:eastAsia="Times New Roman" w:cstheme="minorHAnsi"/>
                <w:b/>
                <w:bCs/>
                <w:color w:val="1A495C"/>
                <w:spacing w:val="15"/>
                <w:sz w:val="20"/>
                <w:szCs w:val="20"/>
                <w:lang w:eastAsia="pl-PL"/>
              </w:rPr>
            </w:pPr>
          </w:p>
        </w:tc>
      </w:tr>
    </w:tbl>
    <w:p w14:paraId="2FB37668" w14:textId="77777777" w:rsidR="009633B1" w:rsidRPr="00F0314D" w:rsidRDefault="009633B1" w:rsidP="009633B1">
      <w:pPr>
        <w:pStyle w:val="ListParagraph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2D24708" w14:textId="58156BD4" w:rsidR="00AF7AD6" w:rsidRPr="00F0314D" w:rsidRDefault="0048786B" w:rsidP="0087408A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Należy o</w:t>
      </w:r>
      <w:r w:rsidR="00D136A9" w:rsidRPr="00F0314D">
        <w:rPr>
          <w:rFonts w:eastAsia="Times New Roman" w:cstheme="minorHAnsi"/>
          <w:sz w:val="20"/>
          <w:szCs w:val="20"/>
          <w:lang w:eastAsia="el-GR"/>
        </w:rPr>
        <w:t>kreśl</w:t>
      </w:r>
      <w:r>
        <w:rPr>
          <w:rFonts w:eastAsia="Times New Roman" w:cstheme="minorHAnsi"/>
          <w:sz w:val="20"/>
          <w:szCs w:val="20"/>
          <w:lang w:eastAsia="el-GR"/>
        </w:rPr>
        <w:t>ić</w:t>
      </w:r>
      <w:r w:rsidR="00D136A9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F0314D">
        <w:rPr>
          <w:rFonts w:eastAsia="Times New Roman" w:cstheme="minorHAnsi"/>
          <w:sz w:val="20"/>
          <w:szCs w:val="20"/>
          <w:lang w:eastAsia="el-GR"/>
        </w:rPr>
        <w:t>minimaln</w:t>
      </w:r>
      <w:r>
        <w:rPr>
          <w:rFonts w:eastAsia="Times New Roman" w:cstheme="minorHAnsi"/>
          <w:sz w:val="20"/>
          <w:szCs w:val="20"/>
          <w:lang w:eastAsia="el-GR"/>
        </w:rPr>
        <w:t>e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wymaga</w:t>
      </w:r>
      <w:r>
        <w:rPr>
          <w:rFonts w:eastAsia="Times New Roman" w:cstheme="minorHAnsi"/>
          <w:sz w:val="20"/>
          <w:szCs w:val="20"/>
          <w:lang w:eastAsia="el-GR"/>
        </w:rPr>
        <w:t>nia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D136A9" w:rsidRPr="00F0314D">
        <w:rPr>
          <w:rFonts w:eastAsia="Times New Roman" w:cstheme="minorHAnsi"/>
          <w:sz w:val="20"/>
          <w:szCs w:val="20"/>
          <w:lang w:eastAsia="el-GR"/>
        </w:rPr>
        <w:t xml:space="preserve">bezpieczeństwa dla wycofania </w:t>
      </w:r>
      <w:r>
        <w:rPr>
          <w:rFonts w:eastAsia="Times New Roman" w:cstheme="minorHAnsi"/>
          <w:sz w:val="20"/>
          <w:szCs w:val="20"/>
          <w:lang w:eastAsia="el-GR"/>
        </w:rPr>
        <w:t>z U</w:t>
      </w:r>
      <w:r w:rsidR="00D136A9" w:rsidRPr="00F0314D">
        <w:rPr>
          <w:rFonts w:eastAsia="Times New Roman" w:cstheme="minorHAnsi"/>
          <w:sz w:val="20"/>
          <w:szCs w:val="20"/>
          <w:lang w:eastAsia="el-GR"/>
        </w:rPr>
        <w:t>sługi</w:t>
      </w:r>
      <w:r w:rsidR="00C26EA4">
        <w:rPr>
          <w:rFonts w:eastAsia="Times New Roman" w:cstheme="minorHAnsi"/>
          <w:sz w:val="20"/>
          <w:szCs w:val="20"/>
          <w:lang w:eastAsia="el-GR"/>
        </w:rPr>
        <w:t xml:space="preserve"> chmury obliczeniowej</w:t>
      </w:r>
      <w:r>
        <w:rPr>
          <w:rFonts w:eastAsia="Times New Roman" w:cstheme="minorHAnsi"/>
          <w:sz w:val="20"/>
          <w:szCs w:val="20"/>
          <w:lang w:eastAsia="el-GR"/>
        </w:rPr>
        <w:t>, w tym</w:t>
      </w:r>
      <w:r w:rsidR="00C26EA4">
        <w:rPr>
          <w:rFonts w:eastAsia="Times New Roman" w:cstheme="minorHAnsi"/>
          <w:sz w:val="20"/>
          <w:szCs w:val="20"/>
          <w:lang w:eastAsia="el-GR"/>
        </w:rPr>
        <w:t>:</w:t>
      </w:r>
    </w:p>
    <w:p w14:paraId="27FBA9D1" w14:textId="6A13F04B" w:rsidR="00EA3655" w:rsidRPr="00F0314D" w:rsidRDefault="006A227C" w:rsidP="0087408A">
      <w:pPr>
        <w:numPr>
          <w:ilvl w:val="1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w</w:t>
      </w:r>
      <w:r w:rsidR="00AF7AD6" w:rsidRPr="00F0314D">
        <w:rPr>
          <w:rFonts w:eastAsia="Times New Roman" w:cstheme="minorHAnsi"/>
          <w:sz w:val="20"/>
          <w:szCs w:val="20"/>
          <w:lang w:eastAsia="el-GR"/>
        </w:rPr>
        <w:t>ymagania bezpieczeństwa dla docelowego rozwiązania po wycofaniu</w:t>
      </w:r>
      <w:r>
        <w:rPr>
          <w:rFonts w:eastAsia="Times New Roman" w:cstheme="minorHAnsi"/>
          <w:sz w:val="20"/>
          <w:szCs w:val="20"/>
          <w:lang w:eastAsia="el-GR"/>
        </w:rPr>
        <w:t>;</w:t>
      </w:r>
    </w:p>
    <w:p w14:paraId="7CAE7B55" w14:textId="19F66535" w:rsidR="00AF7AD6" w:rsidRPr="00F0314D" w:rsidRDefault="006A227C" w:rsidP="0087408A">
      <w:pPr>
        <w:numPr>
          <w:ilvl w:val="1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w</w:t>
      </w:r>
      <w:r w:rsidR="00AF7AD6" w:rsidRPr="00F0314D">
        <w:rPr>
          <w:rFonts w:eastAsia="Times New Roman" w:cstheme="minorHAnsi"/>
          <w:sz w:val="20"/>
          <w:szCs w:val="20"/>
          <w:lang w:eastAsia="el-GR"/>
        </w:rPr>
        <w:t>ymagania bezpieczeństwa dla procesu migracji.</w:t>
      </w:r>
    </w:p>
    <w:p w14:paraId="3F569E09" w14:textId="6AB1574C" w:rsidR="0013178F" w:rsidRPr="00F0314D" w:rsidRDefault="006A227C" w:rsidP="0087408A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Na potrzeby opisu procesu </w:t>
      </w:r>
      <w:r w:rsidR="0048786B">
        <w:rPr>
          <w:rFonts w:eastAsia="Times New Roman" w:cstheme="minorHAnsi"/>
          <w:sz w:val="20"/>
          <w:szCs w:val="20"/>
          <w:lang w:eastAsia="el-GR"/>
        </w:rPr>
        <w:t xml:space="preserve">migracji danych i przełączenia usługi </w:t>
      </w:r>
      <w:r w:rsidRPr="00F0314D">
        <w:rPr>
          <w:rFonts w:eastAsia="Times New Roman" w:cstheme="minorHAnsi"/>
          <w:sz w:val="20"/>
          <w:szCs w:val="20"/>
          <w:lang w:eastAsia="el-GR"/>
        </w:rPr>
        <w:t>powinny zostać opracowane instrukcje wykonawcze dla wszystkich ról zdefiniowanych w procesie</w:t>
      </w:r>
      <w:r>
        <w:rPr>
          <w:rFonts w:eastAsia="Times New Roman" w:cstheme="minorHAnsi"/>
          <w:sz w:val="20"/>
          <w:szCs w:val="20"/>
          <w:lang w:eastAsia="el-GR"/>
        </w:rPr>
        <w:t xml:space="preserve">. </w:t>
      </w:r>
      <w:r w:rsidR="00072F68" w:rsidRPr="00F0314D">
        <w:rPr>
          <w:rFonts w:eastAsia="Times New Roman" w:cstheme="minorHAnsi"/>
          <w:sz w:val="20"/>
          <w:szCs w:val="20"/>
          <w:lang w:eastAsia="el-GR"/>
        </w:rPr>
        <w:t xml:space="preserve">Proces </w:t>
      </w:r>
      <w:r w:rsidR="00C26EA4">
        <w:rPr>
          <w:rFonts w:eastAsia="Times New Roman" w:cstheme="minorHAnsi"/>
          <w:sz w:val="20"/>
          <w:szCs w:val="20"/>
          <w:lang w:eastAsia="el-GR"/>
        </w:rPr>
        <w:t>powinien</w:t>
      </w:r>
      <w:r w:rsidR="00C26EA4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072F68" w:rsidRPr="00F0314D">
        <w:rPr>
          <w:rFonts w:eastAsia="Times New Roman" w:cstheme="minorHAnsi"/>
          <w:sz w:val="20"/>
          <w:szCs w:val="20"/>
          <w:lang w:eastAsia="el-GR"/>
        </w:rPr>
        <w:t>uwzględniać poniższe punkty wraz z ich operacyjnym rozwi</w:t>
      </w:r>
      <w:r w:rsidR="0013178F" w:rsidRPr="00F0314D">
        <w:rPr>
          <w:rFonts w:eastAsia="Times New Roman" w:cstheme="minorHAnsi"/>
          <w:sz w:val="20"/>
          <w:szCs w:val="20"/>
          <w:lang w:eastAsia="el-GR"/>
        </w:rPr>
        <w:t>nięciem i technicznym uszczegółowieniem</w:t>
      </w:r>
      <w:r>
        <w:rPr>
          <w:rFonts w:eastAsia="Times New Roman" w:cstheme="minorHAnsi"/>
          <w:sz w:val="20"/>
          <w:szCs w:val="20"/>
          <w:lang w:eastAsia="el-GR"/>
        </w:rPr>
        <w:t>:</w:t>
      </w:r>
      <w:r w:rsidR="0013178F" w:rsidRPr="00F0314D">
        <w:rPr>
          <w:rFonts w:eastAsia="Times New Roman" w:cstheme="minorHAnsi"/>
          <w:sz w:val="20"/>
          <w:szCs w:val="20"/>
          <w:lang w:eastAsia="el-GR"/>
        </w:rPr>
        <w:t xml:space="preserve">. </w:t>
      </w:r>
    </w:p>
    <w:p w14:paraId="78F9956F" w14:textId="292D3189" w:rsidR="00741529" w:rsidRPr="00F0314D" w:rsidRDefault="006A227C" w:rsidP="0087408A">
      <w:pPr>
        <w:numPr>
          <w:ilvl w:val="1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f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>ormalna decyzja o wycofaniu lub przełączeniu.</w:t>
      </w:r>
      <w:r w:rsidR="0013178F" w:rsidRPr="00F0314D">
        <w:rPr>
          <w:rFonts w:eastAsia="Times New Roman" w:cstheme="minorHAnsi"/>
          <w:sz w:val="20"/>
          <w:szCs w:val="20"/>
          <w:lang w:eastAsia="el-GR"/>
        </w:rPr>
        <w:t xml:space="preserve"> Określenie zasad wydani</w:t>
      </w:r>
      <w:r w:rsidR="00D136A9" w:rsidRPr="00F0314D">
        <w:rPr>
          <w:rFonts w:eastAsia="Times New Roman" w:cstheme="minorHAnsi"/>
          <w:sz w:val="20"/>
          <w:szCs w:val="20"/>
          <w:lang w:eastAsia="el-GR"/>
        </w:rPr>
        <w:t>a</w:t>
      </w:r>
      <w:r w:rsidR="0013178F" w:rsidRPr="00F0314D">
        <w:rPr>
          <w:rFonts w:eastAsia="Times New Roman" w:cstheme="minorHAnsi"/>
          <w:sz w:val="20"/>
          <w:szCs w:val="20"/>
          <w:lang w:eastAsia="el-GR"/>
        </w:rPr>
        <w:t xml:space="preserve"> takiej decyzji i jej trybu</w:t>
      </w:r>
      <w:r>
        <w:rPr>
          <w:rFonts w:eastAsia="Times New Roman" w:cstheme="minorHAnsi"/>
          <w:sz w:val="20"/>
          <w:szCs w:val="20"/>
          <w:lang w:eastAsia="el-GR"/>
        </w:rPr>
        <w:t>;</w:t>
      </w:r>
    </w:p>
    <w:p w14:paraId="19E6BF2F" w14:textId="28228D13" w:rsidR="00886F17" w:rsidRPr="00F0314D" w:rsidRDefault="006A227C" w:rsidP="0087408A">
      <w:pPr>
        <w:numPr>
          <w:ilvl w:val="1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p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>oinformowanie użytkowników o uruchomieniu planu przełączenia, wraz z podaniem przewidywanych czasów i skutków dla użytkowników</w:t>
      </w:r>
      <w:r>
        <w:rPr>
          <w:rFonts w:eastAsia="Times New Roman" w:cstheme="minorHAnsi"/>
          <w:sz w:val="20"/>
          <w:szCs w:val="20"/>
          <w:lang w:eastAsia="el-GR"/>
        </w:rPr>
        <w:t>;</w:t>
      </w:r>
    </w:p>
    <w:p w14:paraId="44412B4A" w14:textId="508AD869" w:rsidR="00741529" w:rsidRPr="00F0314D" w:rsidRDefault="006A227C" w:rsidP="0087408A">
      <w:pPr>
        <w:numPr>
          <w:ilvl w:val="1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p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>ozyskanie i skonfigurowanie infrastruktury</w:t>
      </w:r>
      <w:r>
        <w:rPr>
          <w:rFonts w:eastAsia="Times New Roman" w:cstheme="minorHAnsi"/>
          <w:sz w:val="20"/>
          <w:szCs w:val="20"/>
          <w:lang w:eastAsia="el-GR"/>
        </w:rPr>
        <w:t>;</w:t>
      </w:r>
    </w:p>
    <w:p w14:paraId="13269F16" w14:textId="18BE3344" w:rsidR="00741529" w:rsidRPr="00F0314D" w:rsidRDefault="006A227C" w:rsidP="0087408A">
      <w:pPr>
        <w:numPr>
          <w:ilvl w:val="1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w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 xml:space="preserve">yodrębnienie danych od </w:t>
      </w:r>
      <w:r w:rsidR="00DD711B">
        <w:rPr>
          <w:rFonts w:eastAsia="Times New Roman" w:cstheme="minorHAnsi"/>
          <w:sz w:val="20"/>
          <w:szCs w:val="20"/>
          <w:lang w:eastAsia="el-GR"/>
        </w:rPr>
        <w:t>D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>ostawcy</w:t>
      </w:r>
      <w:r w:rsidR="00C26EA4">
        <w:rPr>
          <w:rFonts w:eastAsia="Times New Roman" w:cstheme="minorHAnsi"/>
          <w:sz w:val="20"/>
          <w:szCs w:val="20"/>
          <w:lang w:eastAsia="el-GR"/>
        </w:rPr>
        <w:t xml:space="preserve"> usług chmury obliczeniowej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 xml:space="preserve"> i fizyczne ich przekazanie</w:t>
      </w:r>
      <w:r>
        <w:rPr>
          <w:rFonts w:eastAsia="Times New Roman" w:cstheme="minorHAnsi"/>
          <w:sz w:val="20"/>
          <w:szCs w:val="20"/>
          <w:lang w:eastAsia="el-GR"/>
        </w:rPr>
        <w:t>;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14:paraId="4BB1C35E" w14:textId="3F42097C" w:rsidR="00886F17" w:rsidRPr="00F0314D" w:rsidRDefault="006A227C" w:rsidP="0087408A">
      <w:pPr>
        <w:numPr>
          <w:ilvl w:val="1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z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 xml:space="preserve">amontowanie danych z backupu w środowisku </w:t>
      </w:r>
      <w:r w:rsidR="00CA0A45" w:rsidRPr="00CA0A45">
        <w:rPr>
          <w:rFonts w:eastAsia="Times New Roman" w:cstheme="minorHAnsi"/>
          <w:sz w:val="20"/>
          <w:szCs w:val="20"/>
          <w:lang w:eastAsia="el-GR"/>
        </w:rPr>
        <w:t xml:space="preserve">Zakładu Ubezpieczeń 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>i poinformowanie o inicjalnym uruchomieniu usługi</w:t>
      </w:r>
      <w:r>
        <w:rPr>
          <w:rFonts w:eastAsia="Times New Roman" w:cstheme="minorHAnsi"/>
          <w:sz w:val="20"/>
          <w:szCs w:val="20"/>
          <w:lang w:eastAsia="el-GR"/>
        </w:rPr>
        <w:t>;</w:t>
      </w:r>
    </w:p>
    <w:p w14:paraId="7DA0C5B6" w14:textId="6372B7EE" w:rsidR="00AF7AD6" w:rsidRPr="00F0314D" w:rsidRDefault="006A227C" w:rsidP="0087408A">
      <w:pPr>
        <w:numPr>
          <w:ilvl w:val="1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z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 xml:space="preserve">amontowanie danych od Dostawcy </w:t>
      </w:r>
      <w:r w:rsidR="00C26EA4">
        <w:rPr>
          <w:rFonts w:eastAsia="Times New Roman" w:cstheme="minorHAnsi"/>
          <w:sz w:val="20"/>
          <w:szCs w:val="20"/>
          <w:lang w:eastAsia="el-GR"/>
        </w:rPr>
        <w:t>usług chmury obliczeniowej</w:t>
      </w:r>
      <w:r w:rsidR="00C26EA4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886F17" w:rsidRPr="00F0314D">
        <w:rPr>
          <w:rFonts w:eastAsia="Times New Roman" w:cstheme="minorHAnsi"/>
          <w:sz w:val="20"/>
          <w:szCs w:val="20"/>
          <w:lang w:eastAsia="el-GR"/>
        </w:rPr>
        <w:t>i poinformowanie pełnym przełączeniu usługi.</w:t>
      </w:r>
    </w:p>
    <w:p w14:paraId="1BCDCBC8" w14:textId="1326EDF4" w:rsidR="009F31FB" w:rsidRPr="00F0314D" w:rsidRDefault="00C26EA4" w:rsidP="0087408A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 xml:space="preserve">Zakład Ubezpieczeń 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może podjąć decyzję o wyłączeniu realizacji niektórych zobowiązań wynikających z planu wyjścia. W przypadku podjęcia takiej decyzji przez </w:t>
      </w:r>
      <w:r>
        <w:rPr>
          <w:rFonts w:eastAsia="Times New Roman" w:cstheme="minorHAnsi"/>
          <w:sz w:val="20"/>
          <w:szCs w:val="20"/>
          <w:lang w:eastAsia="el-GR"/>
        </w:rPr>
        <w:t>Zakład Ubezpieczeń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, Strony dostosowują plan wyjścia do zmian wprowadzonych przez </w:t>
      </w:r>
      <w:r>
        <w:rPr>
          <w:rFonts w:eastAsia="Times New Roman" w:cstheme="minorHAnsi"/>
          <w:sz w:val="20"/>
          <w:szCs w:val="20"/>
          <w:lang w:eastAsia="el-GR"/>
        </w:rPr>
        <w:t>Zakład Ubezpieczeń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- w szczególności w związku z rezygnacją z określonych zadań </w:t>
      </w:r>
      <w:r>
        <w:rPr>
          <w:rFonts w:eastAsia="Times New Roman" w:cstheme="minorHAnsi"/>
          <w:sz w:val="20"/>
          <w:szCs w:val="20"/>
          <w:lang w:eastAsia="el-GR"/>
        </w:rPr>
        <w:t>Zakład Ubezpieczeń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F31FB" w:rsidRPr="00F0314D">
        <w:rPr>
          <w:rFonts w:eastAsia="Times New Roman" w:cstheme="minorHAnsi"/>
          <w:sz w:val="20"/>
          <w:szCs w:val="20"/>
          <w:lang w:eastAsia="el-GR"/>
        </w:rPr>
        <w:t xml:space="preserve">może żądać skrócenia harmonogramu realizacji planu wyjścia. </w:t>
      </w:r>
    </w:p>
    <w:p w14:paraId="410F8A74" w14:textId="77777777" w:rsidR="009F31FB" w:rsidRPr="00F0314D" w:rsidRDefault="009F31FB" w:rsidP="0087408A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>Strony w czasie realizacji planu wyjścia zapewnią personel techniczny o kompetencjach i wiedzy umożliwiającej realizację uzgodnionego przez Strony planu wyjścia w uzgodnionym terminie.</w:t>
      </w:r>
    </w:p>
    <w:p w14:paraId="0C3F52F8" w14:textId="77777777" w:rsidR="009F31FB" w:rsidRPr="00F0314D" w:rsidRDefault="009F31FB" w:rsidP="0087408A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>Strony zapewnią dostęp do informacji niezbędnych do wykonania powierzonych zadań w ramach planu wyjścia, w tym szczegóły dotyczące odpowiedniego systemu informatycznego.</w:t>
      </w:r>
    </w:p>
    <w:p w14:paraId="745EAADD" w14:textId="77777777" w:rsidR="009F31FB" w:rsidRPr="00F0314D" w:rsidRDefault="009F31FB" w:rsidP="0087408A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Strony w trakcie trwania umowy przygotowują szczegółowe plany wyjścia dla poszczególnych usług oraz zobowiązują się do ich częściowego lub całościowego przetestowania w trakcie trwania umowy </w:t>
      </w:r>
    </w:p>
    <w:p w14:paraId="6ECDD805" w14:textId="5783661B" w:rsidR="009F31FB" w:rsidRPr="00F0314D" w:rsidRDefault="009F31FB" w:rsidP="0087408A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Cały proces wyjścia powinien zakończyć się podpisaniem protokołu, w którym jedna strona potwierdza przejęcie sprzętu, licencji, oprogramowania itp., druga strona potwierdza usunięcie danych </w:t>
      </w:r>
      <w:r w:rsidR="00C26EA4">
        <w:rPr>
          <w:rFonts w:eastAsia="Times New Roman" w:cstheme="minorHAnsi"/>
          <w:sz w:val="20"/>
          <w:szCs w:val="20"/>
          <w:lang w:eastAsia="el-GR"/>
        </w:rPr>
        <w:t>Zakładu Ubezpieczeń</w:t>
      </w:r>
      <w:r w:rsidRPr="00F0314D">
        <w:rPr>
          <w:rFonts w:eastAsia="Times New Roman" w:cstheme="minorHAnsi"/>
          <w:sz w:val="20"/>
          <w:szCs w:val="20"/>
          <w:lang w:eastAsia="el-GR"/>
        </w:rPr>
        <w:t>.</w:t>
      </w:r>
    </w:p>
    <w:p w14:paraId="69E51BD8" w14:textId="77777777" w:rsidR="009F31FB" w:rsidRPr="00F0314D" w:rsidRDefault="009F31FB" w:rsidP="0087408A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Strony w trakcie trwania umowy dokonają przybliżonej oceny kosztów planu wyjścia </w:t>
      </w:r>
    </w:p>
    <w:p w14:paraId="156A1A31" w14:textId="77777777" w:rsidR="0010161A" w:rsidRPr="00F0314D" w:rsidRDefault="0010161A" w:rsidP="00163E54">
      <w:pPr>
        <w:jc w:val="both"/>
        <w:rPr>
          <w:rFonts w:cstheme="minorHAnsi"/>
          <w:sz w:val="20"/>
          <w:szCs w:val="20"/>
        </w:rPr>
      </w:pPr>
    </w:p>
    <w:p w14:paraId="227B92C8" w14:textId="77777777" w:rsidR="0010161A" w:rsidRPr="00F0314D" w:rsidRDefault="0010161A" w:rsidP="00CD64DE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F0314D">
        <w:rPr>
          <w:rFonts w:asciiTheme="minorHAnsi" w:hAnsiTheme="minorHAnsi" w:cstheme="minorHAnsi"/>
          <w:sz w:val="20"/>
          <w:szCs w:val="20"/>
        </w:rPr>
        <w:t>Rozdział II</w:t>
      </w:r>
    </w:p>
    <w:p w14:paraId="79BAD958" w14:textId="34A32CC2" w:rsidR="00163E54" w:rsidRPr="00F0314D" w:rsidRDefault="001077C3" w:rsidP="0087408A">
      <w:pPr>
        <w:pStyle w:val="Heading2"/>
        <w:numPr>
          <w:ilvl w:val="0"/>
          <w:numId w:val="14"/>
        </w:numPr>
        <w:rPr>
          <w:rFonts w:asciiTheme="minorHAnsi" w:hAnsiTheme="minorHAnsi" w:cstheme="minorHAnsi"/>
        </w:rPr>
      </w:pPr>
      <w:r w:rsidRPr="00F0314D">
        <w:rPr>
          <w:rFonts w:asciiTheme="minorHAnsi" w:hAnsiTheme="minorHAnsi" w:cstheme="minorHAnsi"/>
        </w:rPr>
        <w:t>Plan n</w:t>
      </w:r>
      <w:r w:rsidR="00163E54" w:rsidRPr="00F0314D">
        <w:rPr>
          <w:rFonts w:asciiTheme="minorHAnsi" w:hAnsiTheme="minorHAnsi" w:cstheme="minorHAnsi"/>
        </w:rPr>
        <w:t>agłe</w:t>
      </w:r>
      <w:r w:rsidRPr="00F0314D">
        <w:rPr>
          <w:rFonts w:asciiTheme="minorHAnsi" w:hAnsiTheme="minorHAnsi" w:cstheme="minorHAnsi"/>
        </w:rPr>
        <w:t>go</w:t>
      </w:r>
      <w:r w:rsidR="00163E54" w:rsidRPr="00F0314D">
        <w:rPr>
          <w:rFonts w:asciiTheme="minorHAnsi" w:hAnsiTheme="minorHAnsi" w:cstheme="minorHAnsi"/>
        </w:rPr>
        <w:t xml:space="preserve"> zaprzestani</w:t>
      </w:r>
      <w:r w:rsidR="00F4159A">
        <w:rPr>
          <w:rFonts w:asciiTheme="minorHAnsi" w:hAnsiTheme="minorHAnsi" w:cstheme="minorHAnsi"/>
        </w:rPr>
        <w:t>A</w:t>
      </w:r>
      <w:r w:rsidR="00163E54" w:rsidRPr="00F0314D">
        <w:rPr>
          <w:rFonts w:asciiTheme="minorHAnsi" w:hAnsiTheme="minorHAnsi" w:cstheme="minorHAnsi"/>
        </w:rPr>
        <w:t xml:space="preserve"> świadczenia usługi</w:t>
      </w:r>
      <w:r w:rsidR="0048786B">
        <w:rPr>
          <w:rFonts w:asciiTheme="minorHAnsi" w:hAnsiTheme="minorHAnsi" w:cstheme="minorHAnsi"/>
        </w:rPr>
        <w:t xml:space="preserve"> CHMURY OBLICZENIOWEJ </w:t>
      </w:r>
    </w:p>
    <w:p w14:paraId="10310B3E" w14:textId="32AE8E8D" w:rsidR="009F5D56" w:rsidRPr="00F0314D" w:rsidRDefault="00163E54" w:rsidP="008740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W przypadku nagłego i długotrwałego braku dostępu do usługi z powodu problemów po stronie </w:t>
      </w:r>
      <w:r w:rsidR="00DD711B">
        <w:rPr>
          <w:rFonts w:eastAsia="Times New Roman" w:cstheme="minorHAnsi"/>
          <w:sz w:val="20"/>
          <w:szCs w:val="20"/>
          <w:lang w:eastAsia="el-GR"/>
        </w:rPr>
        <w:t>D</w:t>
      </w:r>
      <w:r w:rsidRPr="00F0314D">
        <w:rPr>
          <w:rFonts w:eastAsia="Times New Roman" w:cstheme="minorHAnsi"/>
          <w:sz w:val="20"/>
          <w:szCs w:val="20"/>
          <w:lang w:eastAsia="el-GR"/>
        </w:rPr>
        <w:t>ostawcy usług</w:t>
      </w:r>
      <w:r w:rsidR="00C26EA4">
        <w:rPr>
          <w:rFonts w:eastAsia="Times New Roman" w:cstheme="minorHAnsi"/>
          <w:sz w:val="20"/>
          <w:szCs w:val="20"/>
          <w:lang w:eastAsia="el-GR"/>
        </w:rPr>
        <w:t xml:space="preserve"> chmury obliczeniowej</w:t>
      </w:r>
      <w:r w:rsidRPr="00F0314D">
        <w:rPr>
          <w:rFonts w:eastAsia="Times New Roman" w:cstheme="minorHAnsi"/>
          <w:sz w:val="20"/>
          <w:szCs w:val="20"/>
          <w:lang w:eastAsia="el-GR"/>
        </w:rPr>
        <w:t xml:space="preserve"> (dłuższe niż zakłada SLA) przewidując przywrócenie usługi </w:t>
      </w:r>
      <w:r w:rsidR="0048786B">
        <w:rPr>
          <w:rFonts w:eastAsia="Times New Roman" w:cstheme="minorHAnsi"/>
          <w:sz w:val="20"/>
          <w:szCs w:val="20"/>
          <w:lang w:eastAsia="el-GR"/>
        </w:rPr>
        <w:t>w określonym czasie</w:t>
      </w:r>
      <w:r w:rsidRPr="00F0314D">
        <w:rPr>
          <w:rFonts w:eastAsia="Times New Roman" w:cstheme="minorHAnsi"/>
          <w:sz w:val="20"/>
          <w:szCs w:val="20"/>
          <w:lang w:eastAsia="el-GR"/>
        </w:rPr>
        <w:t>, należy wykonać plan znajdujący się w tym punkcie.</w:t>
      </w:r>
    </w:p>
    <w:p w14:paraId="4489102E" w14:textId="1DCC21A4" w:rsidR="00105D87" w:rsidRPr="00F0314D" w:rsidRDefault="0013178F" w:rsidP="0087408A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 w:rsidRPr="00F0314D">
        <w:rPr>
          <w:rFonts w:eastAsia="Times New Roman" w:cstheme="minorHAnsi"/>
          <w:sz w:val="20"/>
          <w:szCs w:val="20"/>
          <w:lang w:eastAsia="el-GR"/>
        </w:rPr>
        <w:t xml:space="preserve">Wymagania techniczne zbieżne z rozdziałem I, przy założeniu powrotu do wykorzystywanej </w:t>
      </w:r>
      <w:r w:rsidR="00DD711B">
        <w:rPr>
          <w:rFonts w:eastAsia="Times New Roman" w:cstheme="minorHAnsi"/>
          <w:sz w:val="20"/>
          <w:szCs w:val="20"/>
          <w:lang w:eastAsia="el-GR"/>
        </w:rPr>
        <w:t>U</w:t>
      </w:r>
      <w:r w:rsidRPr="00F0314D">
        <w:rPr>
          <w:rFonts w:eastAsia="Times New Roman" w:cstheme="minorHAnsi"/>
          <w:sz w:val="20"/>
          <w:szCs w:val="20"/>
          <w:lang w:eastAsia="el-GR"/>
        </w:rPr>
        <w:t>sługi chmur</w:t>
      </w:r>
      <w:r w:rsidR="00C26EA4">
        <w:rPr>
          <w:rFonts w:eastAsia="Times New Roman" w:cstheme="minorHAnsi"/>
          <w:sz w:val="20"/>
          <w:szCs w:val="20"/>
          <w:lang w:eastAsia="el-GR"/>
        </w:rPr>
        <w:t>y obliczeniowej</w:t>
      </w:r>
      <w:r w:rsidR="006A227C">
        <w:rPr>
          <w:rFonts w:eastAsia="Times New Roman" w:cstheme="minorHAnsi"/>
          <w:sz w:val="20"/>
          <w:szCs w:val="20"/>
          <w:lang w:eastAsia="el-GR"/>
        </w:rPr>
        <w:t>:</w:t>
      </w:r>
    </w:p>
    <w:p w14:paraId="593E9990" w14:textId="3B335C08" w:rsidR="00BC37BC" w:rsidRPr="00F0314D" w:rsidRDefault="006A227C" w:rsidP="0087408A">
      <w:pPr>
        <w:numPr>
          <w:ilvl w:val="1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o</w:t>
      </w:r>
      <w:r w:rsidR="00A47236" w:rsidRPr="00F0314D">
        <w:rPr>
          <w:rFonts w:eastAsia="Times New Roman" w:cstheme="minorHAnsi"/>
          <w:sz w:val="20"/>
          <w:szCs w:val="20"/>
          <w:lang w:eastAsia="el-GR"/>
        </w:rPr>
        <w:t>kreślenie jakie konta i jakie uprawnienia zostaną użyte d</w:t>
      </w:r>
      <w:r w:rsidR="00BC37BC" w:rsidRPr="00F0314D">
        <w:rPr>
          <w:rFonts w:eastAsia="Times New Roman" w:cstheme="minorHAnsi"/>
          <w:sz w:val="20"/>
          <w:szCs w:val="20"/>
          <w:lang w:eastAsia="el-GR"/>
        </w:rPr>
        <w:t>o przełączenia</w:t>
      </w:r>
      <w:r>
        <w:rPr>
          <w:rFonts w:eastAsia="Times New Roman" w:cstheme="minorHAnsi"/>
          <w:sz w:val="20"/>
          <w:szCs w:val="20"/>
          <w:lang w:eastAsia="el-GR"/>
        </w:rPr>
        <w:t>;</w:t>
      </w:r>
      <w:r w:rsidR="00BC37BC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14:paraId="519615E2" w14:textId="0EC9AEE2" w:rsidR="00A47236" w:rsidRPr="00F0314D" w:rsidRDefault="006A227C" w:rsidP="0087408A">
      <w:pPr>
        <w:numPr>
          <w:ilvl w:val="1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p</w:t>
      </w:r>
      <w:r w:rsidR="00A47236" w:rsidRPr="00F0314D">
        <w:rPr>
          <w:rFonts w:eastAsia="Times New Roman" w:cstheme="minorHAnsi"/>
          <w:sz w:val="20"/>
          <w:szCs w:val="20"/>
          <w:lang w:eastAsia="el-GR"/>
        </w:rPr>
        <w:t>rzełączenie usługi zakłada dostęp tylko do wybranego zakresu danych w trybie nagłym. Należy podać zakres i typ danych jaki będzie dostępny i jak zostanie pozyskany.</w:t>
      </w:r>
      <w:r w:rsidR="00E16D94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14712" w:rsidRPr="00F0314D">
        <w:rPr>
          <w:rFonts w:eastAsia="Times New Roman" w:cstheme="minorHAnsi"/>
          <w:sz w:val="20"/>
          <w:szCs w:val="20"/>
          <w:lang w:eastAsia="el-GR"/>
        </w:rPr>
        <w:t xml:space="preserve">Przyjmuje się zatem ryzyko nieposiadania dostępu do </w:t>
      </w:r>
      <w:r w:rsidR="007A6FC7" w:rsidRPr="00F0314D">
        <w:rPr>
          <w:rFonts w:eastAsia="Times New Roman" w:cstheme="minorHAnsi"/>
          <w:sz w:val="20"/>
          <w:szCs w:val="20"/>
          <w:lang w:eastAsia="el-GR"/>
        </w:rPr>
        <w:t xml:space="preserve">całości </w:t>
      </w:r>
      <w:r w:rsidR="00914712" w:rsidRPr="00F0314D">
        <w:rPr>
          <w:rFonts w:eastAsia="Times New Roman" w:cstheme="minorHAnsi"/>
          <w:sz w:val="20"/>
          <w:szCs w:val="20"/>
          <w:lang w:eastAsia="el-GR"/>
        </w:rPr>
        <w:t xml:space="preserve">danych </w:t>
      </w:r>
      <w:r w:rsidR="00612E2C" w:rsidRPr="00F0314D">
        <w:rPr>
          <w:rFonts w:eastAsia="Times New Roman" w:cstheme="minorHAnsi"/>
          <w:sz w:val="20"/>
          <w:szCs w:val="20"/>
          <w:lang w:eastAsia="el-GR"/>
        </w:rPr>
        <w:t xml:space="preserve">i uruchomienia funkcjonalności </w:t>
      </w:r>
      <w:r w:rsidR="0023748B" w:rsidRPr="00F0314D">
        <w:rPr>
          <w:rFonts w:eastAsia="Times New Roman" w:cstheme="minorHAnsi"/>
          <w:sz w:val="20"/>
          <w:szCs w:val="20"/>
          <w:lang w:eastAsia="el-GR"/>
        </w:rPr>
        <w:t>przesyłania wiadomości bieżących</w:t>
      </w:r>
      <w:r>
        <w:rPr>
          <w:rFonts w:eastAsia="Times New Roman" w:cstheme="minorHAnsi"/>
          <w:sz w:val="20"/>
          <w:szCs w:val="20"/>
          <w:lang w:eastAsia="el-GR"/>
        </w:rPr>
        <w:t>;</w:t>
      </w:r>
    </w:p>
    <w:p w14:paraId="05D26083" w14:textId="375DB635" w:rsidR="00A47236" w:rsidRPr="00F0314D" w:rsidRDefault="006A227C" w:rsidP="0087408A">
      <w:pPr>
        <w:numPr>
          <w:ilvl w:val="1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u</w:t>
      </w:r>
      <w:r w:rsidR="00A47236" w:rsidRPr="00F0314D">
        <w:rPr>
          <w:rFonts w:eastAsia="Times New Roman" w:cstheme="minorHAnsi"/>
          <w:sz w:val="20"/>
          <w:szCs w:val="20"/>
          <w:lang w:eastAsia="el-GR"/>
        </w:rPr>
        <w:t xml:space="preserve">dokumentowane instrukcje dla </w:t>
      </w:r>
      <w:r w:rsidR="00BF1C7E" w:rsidRPr="00F0314D">
        <w:rPr>
          <w:rFonts w:eastAsia="Times New Roman" w:cstheme="minorHAnsi"/>
          <w:sz w:val="20"/>
          <w:szCs w:val="20"/>
          <w:lang w:eastAsia="el-GR"/>
        </w:rPr>
        <w:t>Administratorów Systemów</w:t>
      </w:r>
      <w:r w:rsidR="00A47236" w:rsidRPr="00F0314D">
        <w:rPr>
          <w:rFonts w:eastAsia="Times New Roman" w:cstheme="minorHAnsi"/>
          <w:sz w:val="20"/>
          <w:szCs w:val="20"/>
          <w:lang w:eastAsia="el-GR"/>
        </w:rPr>
        <w:t xml:space="preserve"> wraz przygotowanymi zgłoszeniami serwisowymi (RFC) dla wszystkich zadań przełączenia</w:t>
      </w:r>
      <w:r>
        <w:rPr>
          <w:rFonts w:eastAsia="Times New Roman" w:cstheme="minorHAnsi"/>
          <w:sz w:val="20"/>
          <w:szCs w:val="20"/>
          <w:lang w:eastAsia="el-GR"/>
        </w:rPr>
        <w:t>;</w:t>
      </w:r>
    </w:p>
    <w:p w14:paraId="72CD3A28" w14:textId="39B1A089" w:rsidR="009248CC" w:rsidRPr="00F0314D" w:rsidRDefault="006A227C" w:rsidP="0087408A">
      <w:pPr>
        <w:numPr>
          <w:ilvl w:val="1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w</w:t>
      </w:r>
      <w:r w:rsidR="009248CC" w:rsidRPr="00F0314D">
        <w:rPr>
          <w:rFonts w:eastAsia="Times New Roman" w:cstheme="minorHAnsi"/>
          <w:sz w:val="20"/>
          <w:szCs w:val="20"/>
          <w:lang w:eastAsia="el-GR"/>
        </w:rPr>
        <w:t xml:space="preserve"> przypadku problemów na poziomie </w:t>
      </w:r>
      <w:r w:rsidR="004B2A18">
        <w:rPr>
          <w:rFonts w:eastAsia="Times New Roman" w:cstheme="minorHAnsi"/>
          <w:sz w:val="20"/>
          <w:szCs w:val="20"/>
          <w:lang w:eastAsia="el-GR"/>
        </w:rPr>
        <w:t>krytycznym</w:t>
      </w:r>
      <w:r w:rsidR="004B2A18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248CC" w:rsidRPr="00F0314D">
        <w:rPr>
          <w:rFonts w:eastAsia="Times New Roman" w:cstheme="minorHAnsi"/>
          <w:sz w:val="20"/>
          <w:szCs w:val="20"/>
          <w:lang w:eastAsia="el-GR"/>
        </w:rPr>
        <w:t xml:space="preserve">powiadamiany jest odpowiedni dział w ramach struktury IT </w:t>
      </w:r>
      <w:r w:rsidR="00CA0A45" w:rsidRPr="00CA0A45">
        <w:rPr>
          <w:rFonts w:eastAsia="Times New Roman" w:cstheme="minorHAnsi"/>
          <w:sz w:val="20"/>
          <w:szCs w:val="20"/>
          <w:lang w:eastAsia="el-GR"/>
        </w:rPr>
        <w:t xml:space="preserve">Zakładu Ubezpieczeń </w:t>
      </w:r>
      <w:r w:rsidR="009248CC" w:rsidRPr="00F0314D">
        <w:rPr>
          <w:rFonts w:eastAsia="Times New Roman" w:cstheme="minorHAnsi"/>
          <w:sz w:val="20"/>
          <w:szCs w:val="20"/>
          <w:lang w:eastAsia="el-GR"/>
        </w:rPr>
        <w:t xml:space="preserve">oraz uruchamiane </w:t>
      </w:r>
      <w:r w:rsidR="00A47236" w:rsidRPr="00F0314D">
        <w:rPr>
          <w:rFonts w:eastAsia="Times New Roman" w:cstheme="minorHAnsi"/>
          <w:sz w:val="20"/>
          <w:szCs w:val="20"/>
          <w:lang w:eastAsia="el-GR"/>
        </w:rPr>
        <w:t xml:space="preserve">jest </w:t>
      </w:r>
      <w:r w:rsidR="00C26EA4">
        <w:rPr>
          <w:rFonts w:eastAsia="Times New Roman" w:cstheme="minorHAnsi"/>
          <w:sz w:val="20"/>
          <w:szCs w:val="20"/>
          <w:lang w:eastAsia="el-GR"/>
        </w:rPr>
        <w:t xml:space="preserve">wsparcie </w:t>
      </w:r>
      <w:r w:rsidR="00A47236" w:rsidRPr="00F0314D">
        <w:rPr>
          <w:rFonts w:eastAsia="Times New Roman" w:cstheme="minorHAnsi"/>
          <w:sz w:val="20"/>
          <w:szCs w:val="20"/>
          <w:lang w:eastAsia="el-GR"/>
        </w:rPr>
        <w:t>Dostawc</w:t>
      </w:r>
      <w:r w:rsidR="00C26EA4">
        <w:rPr>
          <w:rFonts w:eastAsia="Times New Roman" w:cstheme="minorHAnsi"/>
          <w:sz w:val="20"/>
          <w:szCs w:val="20"/>
          <w:lang w:eastAsia="el-GR"/>
        </w:rPr>
        <w:t>y usług chmury obliczeniowej</w:t>
      </w:r>
      <w:r w:rsidR="00A47236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248CC" w:rsidRPr="00F0314D">
        <w:rPr>
          <w:rFonts w:eastAsia="Times New Roman" w:cstheme="minorHAnsi"/>
          <w:sz w:val="20"/>
          <w:szCs w:val="20"/>
          <w:lang w:eastAsia="el-GR"/>
        </w:rPr>
        <w:t xml:space="preserve">w ramach </w:t>
      </w:r>
      <w:r w:rsidR="00A47236" w:rsidRPr="00F0314D">
        <w:rPr>
          <w:rFonts w:eastAsia="Times New Roman" w:cstheme="minorHAnsi"/>
          <w:sz w:val="20"/>
          <w:szCs w:val="20"/>
          <w:lang w:eastAsia="el-GR"/>
        </w:rPr>
        <w:t xml:space="preserve">wykupionej </w:t>
      </w:r>
      <w:r w:rsidR="009248CC" w:rsidRPr="00F0314D">
        <w:rPr>
          <w:rFonts w:eastAsia="Times New Roman" w:cstheme="minorHAnsi"/>
          <w:sz w:val="20"/>
          <w:szCs w:val="20"/>
          <w:lang w:eastAsia="el-GR"/>
        </w:rPr>
        <w:t>usługi</w:t>
      </w:r>
      <w:r w:rsidR="00A47236" w:rsidRPr="00F0314D">
        <w:rPr>
          <w:rFonts w:eastAsia="Times New Roman" w:cstheme="minorHAnsi"/>
          <w:sz w:val="20"/>
          <w:szCs w:val="20"/>
          <w:lang w:eastAsia="el-GR"/>
        </w:rPr>
        <w:t xml:space="preserve"> wsparcia</w:t>
      </w:r>
      <w:r w:rsidR="009248CC" w:rsidRPr="00F0314D">
        <w:rPr>
          <w:rFonts w:eastAsia="Times New Roman" w:cstheme="minorHAnsi"/>
          <w:sz w:val="20"/>
          <w:szCs w:val="20"/>
          <w:lang w:eastAsia="el-GR"/>
        </w:rPr>
        <w:t>. Równolegle rejestrowany jest problem, którego obsługa realizowana jest w ramach oddzielnego procesu problem management</w:t>
      </w:r>
      <w:r w:rsidR="00A47236" w:rsidRPr="00F0314D">
        <w:rPr>
          <w:rFonts w:eastAsia="Times New Roman" w:cstheme="minorHAnsi"/>
          <w:sz w:val="20"/>
          <w:szCs w:val="20"/>
          <w:lang w:eastAsia="el-GR"/>
        </w:rPr>
        <w:t xml:space="preserve">u </w:t>
      </w:r>
      <w:r w:rsidR="00CA0A45" w:rsidRPr="00CA0A45">
        <w:rPr>
          <w:rFonts w:eastAsia="Times New Roman" w:cstheme="minorHAnsi"/>
          <w:sz w:val="20"/>
          <w:szCs w:val="20"/>
          <w:lang w:eastAsia="el-GR"/>
        </w:rPr>
        <w:t>Zakładu Ubezpieczeń</w:t>
      </w:r>
      <w:r>
        <w:rPr>
          <w:rFonts w:eastAsia="Times New Roman" w:cstheme="minorHAnsi"/>
          <w:sz w:val="20"/>
          <w:szCs w:val="20"/>
          <w:lang w:eastAsia="el-GR"/>
        </w:rPr>
        <w:t>;</w:t>
      </w:r>
    </w:p>
    <w:p w14:paraId="463D160E" w14:textId="38C2C08B" w:rsidR="00A47236" w:rsidRPr="00F0314D" w:rsidRDefault="006A227C" w:rsidP="0087408A">
      <w:pPr>
        <w:numPr>
          <w:ilvl w:val="1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j</w:t>
      </w:r>
      <w:r w:rsidR="00A47236" w:rsidRPr="00F0314D">
        <w:rPr>
          <w:rFonts w:eastAsia="Times New Roman" w:cstheme="minorHAnsi"/>
          <w:sz w:val="20"/>
          <w:szCs w:val="20"/>
          <w:lang w:eastAsia="el-GR"/>
        </w:rPr>
        <w:t xml:space="preserve">eżeli </w:t>
      </w:r>
      <w:r w:rsidR="00CA0A45" w:rsidRPr="00CA0A45">
        <w:rPr>
          <w:rFonts w:eastAsia="Times New Roman" w:cstheme="minorHAnsi"/>
          <w:sz w:val="20"/>
          <w:szCs w:val="20"/>
          <w:lang w:eastAsia="el-GR"/>
        </w:rPr>
        <w:t>Zakład Ubezpieczeń</w:t>
      </w:r>
      <w:r w:rsidR="00C26EA4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A47236" w:rsidRPr="00F0314D">
        <w:rPr>
          <w:rFonts w:eastAsia="Times New Roman" w:cstheme="minorHAnsi"/>
          <w:sz w:val="20"/>
          <w:szCs w:val="20"/>
          <w:lang w:eastAsia="el-GR"/>
        </w:rPr>
        <w:t>nie ma zdefiniowanego procesu problem management, należy opracować także dedykowaną instrukcję, role i zadania dla koordynatora przełączenia usługi. Instrukcja taka zawiera przede wszystkich zasady poinformowania użytkowników o przełączeniu usługi</w:t>
      </w:r>
      <w:r>
        <w:rPr>
          <w:rFonts w:eastAsia="Times New Roman" w:cstheme="minorHAnsi"/>
          <w:sz w:val="20"/>
          <w:szCs w:val="20"/>
          <w:lang w:eastAsia="el-GR"/>
        </w:rPr>
        <w:t>;</w:t>
      </w:r>
    </w:p>
    <w:p w14:paraId="3083E4F0" w14:textId="106AD88E" w:rsidR="00D136A9" w:rsidRPr="00F0314D" w:rsidRDefault="006A227C" w:rsidP="0087408A">
      <w:pPr>
        <w:numPr>
          <w:ilvl w:val="1"/>
          <w:numId w:val="12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el-GR"/>
        </w:rPr>
        <w:t>p</w:t>
      </w:r>
      <w:r w:rsidR="00A47236" w:rsidRPr="00F0314D">
        <w:rPr>
          <w:rFonts w:eastAsia="Times New Roman" w:cstheme="minorHAnsi"/>
          <w:sz w:val="20"/>
          <w:szCs w:val="20"/>
          <w:lang w:eastAsia="el-GR"/>
        </w:rPr>
        <w:t xml:space="preserve">owrót do </w:t>
      </w:r>
      <w:r w:rsidR="00DD711B">
        <w:rPr>
          <w:rFonts w:eastAsia="Times New Roman" w:cstheme="minorHAnsi"/>
          <w:sz w:val="20"/>
          <w:szCs w:val="20"/>
          <w:lang w:eastAsia="el-GR"/>
        </w:rPr>
        <w:t>U</w:t>
      </w:r>
      <w:r w:rsidR="00A47236" w:rsidRPr="00F0314D">
        <w:rPr>
          <w:rFonts w:eastAsia="Times New Roman" w:cstheme="minorHAnsi"/>
          <w:sz w:val="20"/>
          <w:szCs w:val="20"/>
          <w:lang w:eastAsia="el-GR"/>
        </w:rPr>
        <w:t xml:space="preserve">sługi </w:t>
      </w:r>
      <w:r w:rsidR="00C26EA4" w:rsidRPr="00F0314D">
        <w:rPr>
          <w:rFonts w:eastAsia="Times New Roman" w:cstheme="minorHAnsi"/>
          <w:sz w:val="20"/>
          <w:szCs w:val="20"/>
          <w:lang w:eastAsia="el-GR"/>
        </w:rPr>
        <w:t>chmur</w:t>
      </w:r>
      <w:r w:rsidR="00C26EA4">
        <w:rPr>
          <w:rFonts w:eastAsia="Times New Roman" w:cstheme="minorHAnsi"/>
          <w:sz w:val="20"/>
          <w:szCs w:val="20"/>
          <w:lang w:eastAsia="el-GR"/>
        </w:rPr>
        <w:t>y obliczeniowej</w:t>
      </w:r>
      <w:r w:rsidR="00C26EA4" w:rsidRPr="00F0314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A47236" w:rsidRPr="00F0314D">
        <w:rPr>
          <w:rFonts w:eastAsia="Times New Roman" w:cstheme="minorHAnsi"/>
          <w:sz w:val="20"/>
          <w:szCs w:val="20"/>
          <w:lang w:eastAsia="el-GR"/>
        </w:rPr>
        <w:t xml:space="preserve">jest opisany jako powyżej poprzez instrukcje dla administratorów i rozpisane zadania. </w:t>
      </w:r>
    </w:p>
    <w:sectPr w:rsidR="00D136A9" w:rsidRPr="00F0314D" w:rsidSect="006A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3BDE" w16cex:dateUtc="2020-11-26T13:36:00Z"/>
  <w16cex:commentExtensible w16cex:durableId="236A3C1F" w16cex:dateUtc="2020-11-26T13:37:00Z"/>
  <w16cex:commentExtensible w16cex:durableId="236A3C41" w16cex:dateUtc="2020-11-26T13:37:00Z"/>
  <w16cex:commentExtensible w16cex:durableId="236A3C84" w16cex:dateUtc="2020-11-26T13:39:00Z"/>
  <w16cex:commentExtensible w16cex:durableId="236A3CAF" w16cex:dateUtc="2020-11-26T13:39:00Z"/>
  <w16cex:commentExtensible w16cex:durableId="236A3D05" w16cex:dateUtc="2020-11-26T13:41:00Z"/>
  <w16cex:commentExtensible w16cex:durableId="236A3574" w16cex:dateUtc="2020-11-26T13:08:00Z"/>
  <w16cex:commentExtensible w16cex:durableId="236A3D92" w16cex:dateUtc="2020-11-26T13:43:00Z"/>
  <w16cex:commentExtensible w16cex:durableId="236A3EEC" w16cex:dateUtc="2020-11-26T13:49:00Z"/>
  <w16cex:commentExtensible w16cex:durableId="236A3F39" w16cex:dateUtc="2020-11-26T13:50:00Z"/>
  <w16cex:commentExtensible w16cex:durableId="236A33D7" w16cex:dateUtc="2020-11-26T13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C1F53" w14:textId="77777777" w:rsidR="00A6426F" w:rsidRDefault="00A6426F" w:rsidP="00CA69B8">
      <w:pPr>
        <w:spacing w:after="0" w:line="240" w:lineRule="auto"/>
      </w:pPr>
      <w:r>
        <w:separator/>
      </w:r>
    </w:p>
  </w:endnote>
  <w:endnote w:type="continuationSeparator" w:id="0">
    <w:p w14:paraId="259BF509" w14:textId="77777777" w:rsidR="00A6426F" w:rsidRDefault="00A6426F" w:rsidP="00CA69B8">
      <w:pPr>
        <w:spacing w:after="0" w:line="240" w:lineRule="auto"/>
      </w:pPr>
      <w:r>
        <w:continuationSeparator/>
      </w:r>
    </w:p>
  </w:endnote>
  <w:endnote w:type="continuationNotice" w:id="1">
    <w:p w14:paraId="7E1AAAA1" w14:textId="77777777" w:rsidR="00A6426F" w:rsidRDefault="00A642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Yu Mincho"/>
    <w:charset w:val="80"/>
    <w:family w:val="roman"/>
    <w:pitch w:val="variable"/>
    <w:sig w:usb0="0000028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o Light">
    <w:altName w:val="Segoe UI Semilight"/>
    <w:charset w:val="00"/>
    <w:family w:val="swiss"/>
    <w:pitch w:val="variable"/>
    <w:sig w:usb0="00000001" w:usb1="4000205B" w:usb2="00000000" w:usb3="00000000" w:csb0="0000009F" w:csb1="00000000"/>
  </w:font>
  <w:font w:name="Segoe Pro Semibold">
    <w:altName w:val="Segoe UI Semibold"/>
    <w:charset w:val="00"/>
    <w:family w:val="swiss"/>
    <w:pitch w:val="variable"/>
    <w:sig w:usb0="00000001" w:usb1="4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1EE96" w14:textId="77777777" w:rsidR="00A6426F" w:rsidRDefault="00A6426F" w:rsidP="00CA69B8">
      <w:pPr>
        <w:spacing w:after="0" w:line="240" w:lineRule="auto"/>
      </w:pPr>
      <w:r>
        <w:separator/>
      </w:r>
    </w:p>
  </w:footnote>
  <w:footnote w:type="continuationSeparator" w:id="0">
    <w:p w14:paraId="445383CE" w14:textId="77777777" w:rsidR="00A6426F" w:rsidRDefault="00A6426F" w:rsidP="00CA69B8">
      <w:pPr>
        <w:spacing w:after="0" w:line="240" w:lineRule="auto"/>
      </w:pPr>
      <w:r>
        <w:continuationSeparator/>
      </w:r>
    </w:p>
  </w:footnote>
  <w:footnote w:type="continuationNotice" w:id="1">
    <w:p w14:paraId="0098FD6C" w14:textId="77777777" w:rsidR="00A6426F" w:rsidRDefault="00A642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65A9"/>
    <w:multiLevelType w:val="multilevel"/>
    <w:tmpl w:val="3ADEB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27329D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451C6B"/>
    <w:multiLevelType w:val="multilevel"/>
    <w:tmpl w:val="E348EC6A"/>
    <w:lvl w:ilvl="0">
      <w:start w:val="1"/>
      <w:numFmt w:val="decimal"/>
      <w:pStyle w:val="Heading1NumMS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pStyle w:val="Heading2NumMS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Heading3NumMS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Heading4NumMS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pStyle w:val="Heading5NumMS"/>
      <w:lvlText w:val="%1.%2.%3.%4.%5"/>
      <w:lvlJc w:val="left"/>
      <w:pPr>
        <w:ind w:left="1224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02A4AB0"/>
    <w:multiLevelType w:val="multilevel"/>
    <w:tmpl w:val="3ADEB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8B4474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7CF07D9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4C97195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9B55F8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729588A"/>
    <w:multiLevelType w:val="multilevel"/>
    <w:tmpl w:val="3ADEB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8AA1812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C513791"/>
    <w:multiLevelType w:val="multilevel"/>
    <w:tmpl w:val="9B4E9866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5CD0B7C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E5A261A"/>
    <w:multiLevelType w:val="multilevel"/>
    <w:tmpl w:val="F22E51B0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  <w:num w:numId="12">
    <w:abstractNumId w:val="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B8"/>
    <w:rsid w:val="00003807"/>
    <w:rsid w:val="00013951"/>
    <w:rsid w:val="00014318"/>
    <w:rsid w:val="000168E6"/>
    <w:rsid w:val="00026BC0"/>
    <w:rsid w:val="00027465"/>
    <w:rsid w:val="00027779"/>
    <w:rsid w:val="0003102E"/>
    <w:rsid w:val="0004472C"/>
    <w:rsid w:val="000463B5"/>
    <w:rsid w:val="000556A5"/>
    <w:rsid w:val="00057E36"/>
    <w:rsid w:val="00072E1E"/>
    <w:rsid w:val="00072F68"/>
    <w:rsid w:val="00080C02"/>
    <w:rsid w:val="0008458B"/>
    <w:rsid w:val="00084A10"/>
    <w:rsid w:val="0008707B"/>
    <w:rsid w:val="00094180"/>
    <w:rsid w:val="000965A7"/>
    <w:rsid w:val="000A23D3"/>
    <w:rsid w:val="000B5D73"/>
    <w:rsid w:val="000D080E"/>
    <w:rsid w:val="000D41BC"/>
    <w:rsid w:val="000E119F"/>
    <w:rsid w:val="000F616D"/>
    <w:rsid w:val="0010161A"/>
    <w:rsid w:val="00105D87"/>
    <w:rsid w:val="001077C3"/>
    <w:rsid w:val="00112006"/>
    <w:rsid w:val="001243F5"/>
    <w:rsid w:val="00126088"/>
    <w:rsid w:val="00127147"/>
    <w:rsid w:val="0013178F"/>
    <w:rsid w:val="00131DC6"/>
    <w:rsid w:val="00133B17"/>
    <w:rsid w:val="00137A8A"/>
    <w:rsid w:val="00157F7B"/>
    <w:rsid w:val="00163E54"/>
    <w:rsid w:val="0016559F"/>
    <w:rsid w:val="001655E6"/>
    <w:rsid w:val="0016663F"/>
    <w:rsid w:val="00172317"/>
    <w:rsid w:val="00172AA2"/>
    <w:rsid w:val="00172BE8"/>
    <w:rsid w:val="00172EB7"/>
    <w:rsid w:val="00173682"/>
    <w:rsid w:val="001774AA"/>
    <w:rsid w:val="00182AB9"/>
    <w:rsid w:val="001956A7"/>
    <w:rsid w:val="001A6B0D"/>
    <w:rsid w:val="001B2BB9"/>
    <w:rsid w:val="001B5BC7"/>
    <w:rsid w:val="001C1644"/>
    <w:rsid w:val="001C62A8"/>
    <w:rsid w:val="001C68CB"/>
    <w:rsid w:val="001C7586"/>
    <w:rsid w:val="001E290D"/>
    <w:rsid w:val="001E4CF6"/>
    <w:rsid w:val="001F413F"/>
    <w:rsid w:val="001F437F"/>
    <w:rsid w:val="00215E80"/>
    <w:rsid w:val="00225201"/>
    <w:rsid w:val="00225996"/>
    <w:rsid w:val="0023139C"/>
    <w:rsid w:val="002373BD"/>
    <w:rsid w:val="0023748B"/>
    <w:rsid w:val="0024384F"/>
    <w:rsid w:val="00244CB1"/>
    <w:rsid w:val="002472DC"/>
    <w:rsid w:val="0024740F"/>
    <w:rsid w:val="002646E6"/>
    <w:rsid w:val="002703F7"/>
    <w:rsid w:val="00270C43"/>
    <w:rsid w:val="00272856"/>
    <w:rsid w:val="002748F4"/>
    <w:rsid w:val="00275BD8"/>
    <w:rsid w:val="00284A7B"/>
    <w:rsid w:val="002850CA"/>
    <w:rsid w:val="002876F1"/>
    <w:rsid w:val="00290A22"/>
    <w:rsid w:val="002A0507"/>
    <w:rsid w:val="002B6769"/>
    <w:rsid w:val="002C4DC9"/>
    <w:rsid w:val="002C63E5"/>
    <w:rsid w:val="002D2B37"/>
    <w:rsid w:val="002E257F"/>
    <w:rsid w:val="002E348C"/>
    <w:rsid w:val="0030348D"/>
    <w:rsid w:val="0030657A"/>
    <w:rsid w:val="003104D1"/>
    <w:rsid w:val="00311173"/>
    <w:rsid w:val="00315544"/>
    <w:rsid w:val="003157B2"/>
    <w:rsid w:val="0031594C"/>
    <w:rsid w:val="003200FF"/>
    <w:rsid w:val="00331310"/>
    <w:rsid w:val="003333CB"/>
    <w:rsid w:val="00336F4A"/>
    <w:rsid w:val="00343B02"/>
    <w:rsid w:val="003450BE"/>
    <w:rsid w:val="00345F9C"/>
    <w:rsid w:val="00346416"/>
    <w:rsid w:val="00347668"/>
    <w:rsid w:val="0035596C"/>
    <w:rsid w:val="003752E1"/>
    <w:rsid w:val="0037624C"/>
    <w:rsid w:val="00384C2C"/>
    <w:rsid w:val="0038638F"/>
    <w:rsid w:val="00392B3F"/>
    <w:rsid w:val="00393533"/>
    <w:rsid w:val="003939FC"/>
    <w:rsid w:val="00395FC5"/>
    <w:rsid w:val="00397E4F"/>
    <w:rsid w:val="003A474B"/>
    <w:rsid w:val="003B4B43"/>
    <w:rsid w:val="003C1859"/>
    <w:rsid w:val="003C4D20"/>
    <w:rsid w:val="003C4FCA"/>
    <w:rsid w:val="003D1BDC"/>
    <w:rsid w:val="003D3A65"/>
    <w:rsid w:val="003D69D1"/>
    <w:rsid w:val="003E0401"/>
    <w:rsid w:val="003E0A81"/>
    <w:rsid w:val="003E2AE5"/>
    <w:rsid w:val="003E66FF"/>
    <w:rsid w:val="003F116F"/>
    <w:rsid w:val="003F45CF"/>
    <w:rsid w:val="004028CA"/>
    <w:rsid w:val="00413582"/>
    <w:rsid w:val="0041443F"/>
    <w:rsid w:val="00414933"/>
    <w:rsid w:val="004175B7"/>
    <w:rsid w:val="00432107"/>
    <w:rsid w:val="00437F8A"/>
    <w:rsid w:val="00442650"/>
    <w:rsid w:val="0044365A"/>
    <w:rsid w:val="00446C6C"/>
    <w:rsid w:val="00452C49"/>
    <w:rsid w:val="004577B0"/>
    <w:rsid w:val="0046018D"/>
    <w:rsid w:val="00472166"/>
    <w:rsid w:val="004736FB"/>
    <w:rsid w:val="004817CE"/>
    <w:rsid w:val="0048736C"/>
    <w:rsid w:val="0048780E"/>
    <w:rsid w:val="0048786B"/>
    <w:rsid w:val="00496C84"/>
    <w:rsid w:val="004A17E8"/>
    <w:rsid w:val="004B2A18"/>
    <w:rsid w:val="004B4855"/>
    <w:rsid w:val="004B7ED1"/>
    <w:rsid w:val="004C164A"/>
    <w:rsid w:val="004C4B1D"/>
    <w:rsid w:val="004D038C"/>
    <w:rsid w:val="004D19EE"/>
    <w:rsid w:val="004E1BE6"/>
    <w:rsid w:val="004E37FC"/>
    <w:rsid w:val="004F035D"/>
    <w:rsid w:val="004F0B19"/>
    <w:rsid w:val="00504D25"/>
    <w:rsid w:val="005072C1"/>
    <w:rsid w:val="00525BE8"/>
    <w:rsid w:val="005270BA"/>
    <w:rsid w:val="00530A5D"/>
    <w:rsid w:val="0053449E"/>
    <w:rsid w:val="00537507"/>
    <w:rsid w:val="00553F11"/>
    <w:rsid w:val="00562655"/>
    <w:rsid w:val="00563A08"/>
    <w:rsid w:val="00564E3D"/>
    <w:rsid w:val="00570719"/>
    <w:rsid w:val="00575A8F"/>
    <w:rsid w:val="005772D5"/>
    <w:rsid w:val="00584316"/>
    <w:rsid w:val="005858A5"/>
    <w:rsid w:val="00590F4F"/>
    <w:rsid w:val="00591446"/>
    <w:rsid w:val="00593A11"/>
    <w:rsid w:val="005A206B"/>
    <w:rsid w:val="005A2D49"/>
    <w:rsid w:val="005A3155"/>
    <w:rsid w:val="005B7BDD"/>
    <w:rsid w:val="005D2C40"/>
    <w:rsid w:val="005F670C"/>
    <w:rsid w:val="00606FCD"/>
    <w:rsid w:val="00612E2C"/>
    <w:rsid w:val="006134FE"/>
    <w:rsid w:val="00616129"/>
    <w:rsid w:val="00635C7E"/>
    <w:rsid w:val="00636362"/>
    <w:rsid w:val="00640064"/>
    <w:rsid w:val="0064714A"/>
    <w:rsid w:val="00653585"/>
    <w:rsid w:val="0065575A"/>
    <w:rsid w:val="00660DA7"/>
    <w:rsid w:val="00666026"/>
    <w:rsid w:val="00671F47"/>
    <w:rsid w:val="006728C7"/>
    <w:rsid w:val="006802FE"/>
    <w:rsid w:val="006863D6"/>
    <w:rsid w:val="0068782B"/>
    <w:rsid w:val="00691A0A"/>
    <w:rsid w:val="006A0FA4"/>
    <w:rsid w:val="006A1A5F"/>
    <w:rsid w:val="006A227C"/>
    <w:rsid w:val="006A4818"/>
    <w:rsid w:val="006A692F"/>
    <w:rsid w:val="006A7C2F"/>
    <w:rsid w:val="006D2603"/>
    <w:rsid w:val="006D564A"/>
    <w:rsid w:val="006D77B7"/>
    <w:rsid w:val="006E2E2C"/>
    <w:rsid w:val="006E5794"/>
    <w:rsid w:val="006E5D83"/>
    <w:rsid w:val="006F7295"/>
    <w:rsid w:val="00707654"/>
    <w:rsid w:val="00714B83"/>
    <w:rsid w:val="007163DD"/>
    <w:rsid w:val="00720EBF"/>
    <w:rsid w:val="00721104"/>
    <w:rsid w:val="00724830"/>
    <w:rsid w:val="00725B07"/>
    <w:rsid w:val="007265E9"/>
    <w:rsid w:val="007268C3"/>
    <w:rsid w:val="00731714"/>
    <w:rsid w:val="00736898"/>
    <w:rsid w:val="00741529"/>
    <w:rsid w:val="00743C0C"/>
    <w:rsid w:val="00750819"/>
    <w:rsid w:val="00757341"/>
    <w:rsid w:val="00762F64"/>
    <w:rsid w:val="00763034"/>
    <w:rsid w:val="007648E0"/>
    <w:rsid w:val="00765E22"/>
    <w:rsid w:val="00771C16"/>
    <w:rsid w:val="00771EA8"/>
    <w:rsid w:val="00774EB3"/>
    <w:rsid w:val="00775960"/>
    <w:rsid w:val="00777970"/>
    <w:rsid w:val="00777A39"/>
    <w:rsid w:val="00794B61"/>
    <w:rsid w:val="007A6FC7"/>
    <w:rsid w:val="007B08B3"/>
    <w:rsid w:val="007B25BF"/>
    <w:rsid w:val="007B3AD0"/>
    <w:rsid w:val="007B4040"/>
    <w:rsid w:val="007C0BA5"/>
    <w:rsid w:val="007C4D09"/>
    <w:rsid w:val="007D7016"/>
    <w:rsid w:val="007E17BD"/>
    <w:rsid w:val="007E6004"/>
    <w:rsid w:val="008017FB"/>
    <w:rsid w:val="00813440"/>
    <w:rsid w:val="008158B4"/>
    <w:rsid w:val="008213E3"/>
    <w:rsid w:val="00822C02"/>
    <w:rsid w:val="00822D03"/>
    <w:rsid w:val="008252A6"/>
    <w:rsid w:val="00837CA8"/>
    <w:rsid w:val="008432F0"/>
    <w:rsid w:val="008441DC"/>
    <w:rsid w:val="00850E95"/>
    <w:rsid w:val="008574A0"/>
    <w:rsid w:val="00860B66"/>
    <w:rsid w:val="0086296A"/>
    <w:rsid w:val="00867762"/>
    <w:rsid w:val="00873A1C"/>
    <w:rsid w:val="0087408A"/>
    <w:rsid w:val="008817E8"/>
    <w:rsid w:val="008819C6"/>
    <w:rsid w:val="00886F17"/>
    <w:rsid w:val="00891B61"/>
    <w:rsid w:val="008958BB"/>
    <w:rsid w:val="008A20C9"/>
    <w:rsid w:val="008A281C"/>
    <w:rsid w:val="008A28FB"/>
    <w:rsid w:val="008A6310"/>
    <w:rsid w:val="008B39EA"/>
    <w:rsid w:val="008B458C"/>
    <w:rsid w:val="008B692F"/>
    <w:rsid w:val="008C1913"/>
    <w:rsid w:val="008C2736"/>
    <w:rsid w:val="008C30F8"/>
    <w:rsid w:val="008D2BBC"/>
    <w:rsid w:val="008F0303"/>
    <w:rsid w:val="008F40E7"/>
    <w:rsid w:val="009021D5"/>
    <w:rsid w:val="00902CF4"/>
    <w:rsid w:val="00907A46"/>
    <w:rsid w:val="00914712"/>
    <w:rsid w:val="009147BD"/>
    <w:rsid w:val="009148E3"/>
    <w:rsid w:val="00920CB1"/>
    <w:rsid w:val="009248CC"/>
    <w:rsid w:val="00927CC7"/>
    <w:rsid w:val="009412E0"/>
    <w:rsid w:val="00943FBB"/>
    <w:rsid w:val="009633B1"/>
    <w:rsid w:val="00965A3E"/>
    <w:rsid w:val="009716CF"/>
    <w:rsid w:val="00975038"/>
    <w:rsid w:val="00977561"/>
    <w:rsid w:val="00995E04"/>
    <w:rsid w:val="009978B8"/>
    <w:rsid w:val="009A61B0"/>
    <w:rsid w:val="009B0046"/>
    <w:rsid w:val="009C5045"/>
    <w:rsid w:val="009C6606"/>
    <w:rsid w:val="009C6C53"/>
    <w:rsid w:val="009D079E"/>
    <w:rsid w:val="009E1517"/>
    <w:rsid w:val="009E4B6E"/>
    <w:rsid w:val="009E62A0"/>
    <w:rsid w:val="009E6CD0"/>
    <w:rsid w:val="009E7E79"/>
    <w:rsid w:val="009F1244"/>
    <w:rsid w:val="009F31FB"/>
    <w:rsid w:val="009F4C51"/>
    <w:rsid w:val="009F5B5E"/>
    <w:rsid w:val="009F5D56"/>
    <w:rsid w:val="009F6B37"/>
    <w:rsid w:val="009F7B1C"/>
    <w:rsid w:val="00A06394"/>
    <w:rsid w:val="00A10E2C"/>
    <w:rsid w:val="00A16573"/>
    <w:rsid w:val="00A41433"/>
    <w:rsid w:val="00A46CC0"/>
    <w:rsid w:val="00A47236"/>
    <w:rsid w:val="00A52785"/>
    <w:rsid w:val="00A53544"/>
    <w:rsid w:val="00A567F0"/>
    <w:rsid w:val="00A572DD"/>
    <w:rsid w:val="00A6426F"/>
    <w:rsid w:val="00A73BBB"/>
    <w:rsid w:val="00A808E8"/>
    <w:rsid w:val="00A85B80"/>
    <w:rsid w:val="00A971AB"/>
    <w:rsid w:val="00A97E91"/>
    <w:rsid w:val="00AA282A"/>
    <w:rsid w:val="00AD7064"/>
    <w:rsid w:val="00AE28BD"/>
    <w:rsid w:val="00AE6D7B"/>
    <w:rsid w:val="00AF198C"/>
    <w:rsid w:val="00AF1A08"/>
    <w:rsid w:val="00AF24F2"/>
    <w:rsid w:val="00AF5536"/>
    <w:rsid w:val="00AF7AD6"/>
    <w:rsid w:val="00B024DC"/>
    <w:rsid w:val="00B037FE"/>
    <w:rsid w:val="00B05398"/>
    <w:rsid w:val="00B124FA"/>
    <w:rsid w:val="00B132DC"/>
    <w:rsid w:val="00B15AF1"/>
    <w:rsid w:val="00B1743B"/>
    <w:rsid w:val="00B21E63"/>
    <w:rsid w:val="00B220DB"/>
    <w:rsid w:val="00B25AE3"/>
    <w:rsid w:val="00B31B19"/>
    <w:rsid w:val="00B352C6"/>
    <w:rsid w:val="00B43011"/>
    <w:rsid w:val="00B43A75"/>
    <w:rsid w:val="00B46901"/>
    <w:rsid w:val="00B50E5B"/>
    <w:rsid w:val="00B70365"/>
    <w:rsid w:val="00B83494"/>
    <w:rsid w:val="00B84B84"/>
    <w:rsid w:val="00B9136A"/>
    <w:rsid w:val="00BA0C33"/>
    <w:rsid w:val="00BA2E19"/>
    <w:rsid w:val="00BA3175"/>
    <w:rsid w:val="00BA5642"/>
    <w:rsid w:val="00BB1247"/>
    <w:rsid w:val="00BC37BC"/>
    <w:rsid w:val="00BD117C"/>
    <w:rsid w:val="00BD5D9E"/>
    <w:rsid w:val="00BD708B"/>
    <w:rsid w:val="00BE34BF"/>
    <w:rsid w:val="00BF1C7E"/>
    <w:rsid w:val="00BF5B27"/>
    <w:rsid w:val="00C02CC0"/>
    <w:rsid w:val="00C240A5"/>
    <w:rsid w:val="00C26A80"/>
    <w:rsid w:val="00C26EA4"/>
    <w:rsid w:val="00C31D62"/>
    <w:rsid w:val="00C326E4"/>
    <w:rsid w:val="00C567D0"/>
    <w:rsid w:val="00C82328"/>
    <w:rsid w:val="00C84910"/>
    <w:rsid w:val="00CA0A45"/>
    <w:rsid w:val="00CA69B8"/>
    <w:rsid w:val="00CB0C68"/>
    <w:rsid w:val="00CB434C"/>
    <w:rsid w:val="00CC74B9"/>
    <w:rsid w:val="00CD12EE"/>
    <w:rsid w:val="00CD142F"/>
    <w:rsid w:val="00CD2EDB"/>
    <w:rsid w:val="00CD32E6"/>
    <w:rsid w:val="00CD5CE4"/>
    <w:rsid w:val="00CD64DE"/>
    <w:rsid w:val="00CE7C18"/>
    <w:rsid w:val="00CF5105"/>
    <w:rsid w:val="00CF631A"/>
    <w:rsid w:val="00CF79C7"/>
    <w:rsid w:val="00D03670"/>
    <w:rsid w:val="00D07F58"/>
    <w:rsid w:val="00D106A0"/>
    <w:rsid w:val="00D136A9"/>
    <w:rsid w:val="00D163AF"/>
    <w:rsid w:val="00D21A8E"/>
    <w:rsid w:val="00D2454E"/>
    <w:rsid w:val="00D27E21"/>
    <w:rsid w:val="00D3220B"/>
    <w:rsid w:val="00D45CFD"/>
    <w:rsid w:val="00D60E93"/>
    <w:rsid w:val="00D62420"/>
    <w:rsid w:val="00D66E69"/>
    <w:rsid w:val="00D7444C"/>
    <w:rsid w:val="00D827C7"/>
    <w:rsid w:val="00D86EE8"/>
    <w:rsid w:val="00D902DB"/>
    <w:rsid w:val="00D97A75"/>
    <w:rsid w:val="00DA0506"/>
    <w:rsid w:val="00DB0899"/>
    <w:rsid w:val="00DD36C2"/>
    <w:rsid w:val="00DD711B"/>
    <w:rsid w:val="00DE5DC0"/>
    <w:rsid w:val="00DE7E5A"/>
    <w:rsid w:val="00DF05F9"/>
    <w:rsid w:val="00DF0FA1"/>
    <w:rsid w:val="00E0068F"/>
    <w:rsid w:val="00E066AF"/>
    <w:rsid w:val="00E10F17"/>
    <w:rsid w:val="00E11F7F"/>
    <w:rsid w:val="00E1210E"/>
    <w:rsid w:val="00E121F6"/>
    <w:rsid w:val="00E16D94"/>
    <w:rsid w:val="00E220EF"/>
    <w:rsid w:val="00E22C7F"/>
    <w:rsid w:val="00E25EDC"/>
    <w:rsid w:val="00E27955"/>
    <w:rsid w:val="00E33EC3"/>
    <w:rsid w:val="00E43B4C"/>
    <w:rsid w:val="00E52194"/>
    <w:rsid w:val="00E52DC3"/>
    <w:rsid w:val="00E5745D"/>
    <w:rsid w:val="00E60819"/>
    <w:rsid w:val="00E74FD2"/>
    <w:rsid w:val="00E77F41"/>
    <w:rsid w:val="00E81B6F"/>
    <w:rsid w:val="00E83D8E"/>
    <w:rsid w:val="00E90691"/>
    <w:rsid w:val="00E916CA"/>
    <w:rsid w:val="00E91FCC"/>
    <w:rsid w:val="00E96C7A"/>
    <w:rsid w:val="00EA1D7F"/>
    <w:rsid w:val="00EA2737"/>
    <w:rsid w:val="00EA3655"/>
    <w:rsid w:val="00EC0BC9"/>
    <w:rsid w:val="00EC4E14"/>
    <w:rsid w:val="00EC700C"/>
    <w:rsid w:val="00EC7085"/>
    <w:rsid w:val="00ED022D"/>
    <w:rsid w:val="00ED0C2A"/>
    <w:rsid w:val="00ED12F5"/>
    <w:rsid w:val="00ED3AA5"/>
    <w:rsid w:val="00EE1698"/>
    <w:rsid w:val="00EE2BB7"/>
    <w:rsid w:val="00EE2C9C"/>
    <w:rsid w:val="00EF1421"/>
    <w:rsid w:val="00EF350E"/>
    <w:rsid w:val="00F0314D"/>
    <w:rsid w:val="00F03E75"/>
    <w:rsid w:val="00F17EDA"/>
    <w:rsid w:val="00F22855"/>
    <w:rsid w:val="00F254C7"/>
    <w:rsid w:val="00F365FA"/>
    <w:rsid w:val="00F371FE"/>
    <w:rsid w:val="00F4159A"/>
    <w:rsid w:val="00F57AF9"/>
    <w:rsid w:val="00F633BB"/>
    <w:rsid w:val="00F637A5"/>
    <w:rsid w:val="00F66B8F"/>
    <w:rsid w:val="00F7357F"/>
    <w:rsid w:val="00F73CF1"/>
    <w:rsid w:val="00F768CD"/>
    <w:rsid w:val="00F83F5B"/>
    <w:rsid w:val="00F93208"/>
    <w:rsid w:val="00F9434F"/>
    <w:rsid w:val="00FA1488"/>
    <w:rsid w:val="00FB3620"/>
    <w:rsid w:val="00FC7B0B"/>
    <w:rsid w:val="00FD0FF1"/>
    <w:rsid w:val="00FE428D"/>
    <w:rsid w:val="00FF19DB"/>
    <w:rsid w:val="00FF543F"/>
    <w:rsid w:val="00FF6659"/>
    <w:rsid w:val="0212CA7A"/>
    <w:rsid w:val="06891453"/>
    <w:rsid w:val="09A7CC98"/>
    <w:rsid w:val="120FFD31"/>
    <w:rsid w:val="151C7B6A"/>
    <w:rsid w:val="193C6ADC"/>
    <w:rsid w:val="1DFE67C3"/>
    <w:rsid w:val="222ECF39"/>
    <w:rsid w:val="23C7C864"/>
    <w:rsid w:val="29270815"/>
    <w:rsid w:val="330667B3"/>
    <w:rsid w:val="3498EEC7"/>
    <w:rsid w:val="3DD7BAEA"/>
    <w:rsid w:val="3E0F2611"/>
    <w:rsid w:val="3EC99929"/>
    <w:rsid w:val="427BEFC8"/>
    <w:rsid w:val="432DD0EC"/>
    <w:rsid w:val="4887A835"/>
    <w:rsid w:val="4B2534EA"/>
    <w:rsid w:val="4F7672E4"/>
    <w:rsid w:val="50CF849E"/>
    <w:rsid w:val="57100238"/>
    <w:rsid w:val="596EFE01"/>
    <w:rsid w:val="6027E6A1"/>
    <w:rsid w:val="65E663E3"/>
    <w:rsid w:val="74F6BF9A"/>
    <w:rsid w:val="76DDC433"/>
    <w:rsid w:val="7CA39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15161"/>
  <w15:docId w15:val="{5D10314E-2943-4BBD-90AA-48FA43F3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D9E"/>
    <w:pPr>
      <w:pBdr>
        <w:top w:val="single" w:sz="12" w:space="0" w:color="3494BA"/>
        <w:left w:val="single" w:sz="12" w:space="0" w:color="3494BA"/>
        <w:bottom w:val="single" w:sz="12" w:space="0" w:color="3494BA"/>
        <w:right w:val="single" w:sz="12" w:space="0" w:color="3494BA"/>
      </w:pBdr>
      <w:shd w:val="clear" w:color="auto" w:fill="3494BA"/>
      <w:spacing w:before="120" w:after="120" w:line="240" w:lineRule="auto"/>
      <w:jc w:val="center"/>
      <w:outlineLvl w:val="0"/>
    </w:pPr>
    <w:rPr>
      <w:rFonts w:ascii="Calibri" w:eastAsia="Yu Mincho" w:hAnsi="Calibri" w:cs="Arial"/>
      <w:caps/>
      <w:color w:val="FFFFF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65"/>
    <w:pPr>
      <w:numPr>
        <w:numId w:val="13"/>
      </w:numPr>
      <w:pBdr>
        <w:top w:val="single" w:sz="24" w:space="0" w:color="D4EAF3"/>
        <w:left w:val="single" w:sz="24" w:space="0" w:color="D4EAF3"/>
        <w:bottom w:val="single" w:sz="24" w:space="0" w:color="D4EAF3"/>
        <w:right w:val="single" w:sz="24" w:space="0" w:color="D4EAF3"/>
      </w:pBdr>
      <w:shd w:val="clear" w:color="auto" w:fill="D4EAF3"/>
      <w:spacing w:before="180" w:after="180" w:line="240" w:lineRule="auto"/>
      <w:outlineLvl w:val="1"/>
    </w:pPr>
    <w:rPr>
      <w:rFonts w:ascii="Calibri" w:eastAsia="Times New Roman" w:hAnsi="Calibri" w:cs="Arial"/>
      <w:caps/>
      <w:spacing w:val="15"/>
      <w:sz w:val="20"/>
      <w:szCs w:val="20"/>
      <w:lang w:eastAsia="el-G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BC9"/>
    <w:pPr>
      <w:numPr>
        <w:numId w:val="9"/>
      </w:numPr>
      <w:shd w:val="clear" w:color="auto" w:fill="F2F2F2"/>
      <w:spacing w:before="120" w:after="120" w:line="240" w:lineRule="auto"/>
      <w:jc w:val="both"/>
      <w:outlineLvl w:val="2"/>
    </w:pPr>
    <w:rPr>
      <w:rFonts w:ascii="Calibri" w:eastAsia="Yu Mincho" w:hAnsi="Calibri" w:cs="Arial"/>
      <w:b/>
      <w:caps/>
      <w:color w:val="276E8B"/>
      <w:spacing w:val="10"/>
      <w:sz w:val="20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NumMS">
    <w:name w:val="Heading 1 Num MS"/>
    <w:basedOn w:val="Normal"/>
    <w:next w:val="Normal"/>
    <w:qFormat/>
    <w:rsid w:val="0064714A"/>
    <w:pPr>
      <w:keepNext/>
      <w:keepLines/>
      <w:pageBreakBefore/>
      <w:numPr>
        <w:numId w:val="1"/>
      </w:numPr>
      <w:tabs>
        <w:tab w:val="left" w:pos="936"/>
      </w:tabs>
      <w:spacing w:before="100" w:after="200" w:line="600" w:lineRule="exact"/>
      <w:outlineLvl w:val="0"/>
    </w:pPr>
    <w:rPr>
      <w:rFonts w:ascii="Segoe Pro Light" w:hAnsi="Segoe Pro Light"/>
      <w:color w:val="4472C4" w:themeColor="accent1"/>
      <w:spacing w:val="10"/>
      <w:sz w:val="64"/>
      <w:szCs w:val="48"/>
      <w:lang w:val="en-US"/>
    </w:rPr>
  </w:style>
  <w:style w:type="paragraph" w:customStyle="1" w:styleId="Heading2NumMS">
    <w:name w:val="Heading 2 Num MS"/>
    <w:basedOn w:val="Normal"/>
    <w:next w:val="Normal"/>
    <w:qFormat/>
    <w:rsid w:val="0064714A"/>
    <w:pPr>
      <w:keepNext/>
      <w:keepLines/>
      <w:numPr>
        <w:ilvl w:val="1"/>
        <w:numId w:val="1"/>
      </w:numPr>
      <w:tabs>
        <w:tab w:val="left" w:pos="936"/>
      </w:tabs>
      <w:spacing w:before="200" w:after="100" w:line="240" w:lineRule="auto"/>
      <w:outlineLvl w:val="1"/>
    </w:pPr>
    <w:rPr>
      <w:rFonts w:ascii="Segoe Pro Semibold" w:hAnsi="Segoe Pro Semibold"/>
      <w:color w:val="44546A" w:themeColor="text2"/>
      <w:sz w:val="40"/>
      <w:szCs w:val="36"/>
      <w:lang w:val="en-US"/>
    </w:rPr>
  </w:style>
  <w:style w:type="paragraph" w:customStyle="1" w:styleId="Heading3NumMS">
    <w:name w:val="Heading 3 Num MS"/>
    <w:basedOn w:val="Normal"/>
    <w:next w:val="Normal"/>
    <w:qFormat/>
    <w:rsid w:val="0064714A"/>
    <w:pPr>
      <w:keepNext/>
      <w:keepLines/>
      <w:numPr>
        <w:ilvl w:val="2"/>
        <w:numId w:val="1"/>
      </w:numPr>
      <w:tabs>
        <w:tab w:val="left" w:pos="936"/>
      </w:tabs>
      <w:spacing w:before="200" w:after="100" w:line="240" w:lineRule="auto"/>
      <w:outlineLvl w:val="2"/>
    </w:pPr>
    <w:rPr>
      <w:rFonts w:ascii="Segoe Pro Semibold" w:hAnsi="Segoe Pro Semibold"/>
      <w:i/>
      <w:color w:val="44546A" w:themeColor="text2"/>
      <w:sz w:val="32"/>
      <w:szCs w:val="28"/>
      <w:lang w:val="en-US"/>
    </w:rPr>
  </w:style>
  <w:style w:type="paragraph" w:customStyle="1" w:styleId="Heading4NumMS">
    <w:name w:val="Heading 4 Num MS"/>
    <w:basedOn w:val="Normal"/>
    <w:next w:val="Normal"/>
    <w:qFormat/>
    <w:rsid w:val="0064714A"/>
    <w:pPr>
      <w:keepNext/>
      <w:keepLines/>
      <w:numPr>
        <w:ilvl w:val="3"/>
        <w:numId w:val="1"/>
      </w:numPr>
      <w:tabs>
        <w:tab w:val="left" w:pos="936"/>
      </w:tabs>
      <w:spacing w:before="200" w:after="100" w:line="240" w:lineRule="auto"/>
      <w:outlineLvl w:val="3"/>
    </w:pPr>
    <w:rPr>
      <w:rFonts w:ascii="Segoe Pro Semibold" w:hAnsi="Segoe Pro Semibold"/>
      <w:color w:val="44546A" w:themeColor="text2"/>
      <w:sz w:val="28"/>
      <w:lang w:val="en-US"/>
    </w:rPr>
  </w:style>
  <w:style w:type="paragraph" w:customStyle="1" w:styleId="Heading5NumMS">
    <w:name w:val="Heading 5 Num MS"/>
    <w:basedOn w:val="Normal"/>
    <w:next w:val="Normal"/>
    <w:qFormat/>
    <w:rsid w:val="0064714A"/>
    <w:pPr>
      <w:keepNext/>
      <w:keepLines/>
      <w:numPr>
        <w:ilvl w:val="4"/>
        <w:numId w:val="1"/>
      </w:numPr>
      <w:tabs>
        <w:tab w:val="left" w:pos="1224"/>
      </w:tabs>
      <w:spacing w:before="200" w:after="100" w:line="240" w:lineRule="auto"/>
      <w:outlineLvl w:val="4"/>
    </w:pPr>
    <w:rPr>
      <w:rFonts w:ascii="Segoe Pro Semibold" w:hAnsi="Segoe Pro Semibold"/>
      <w:color w:val="44546A" w:themeColor="text2"/>
      <w:szCs w:val="20"/>
      <w:lang w:val="en-US"/>
    </w:rPr>
  </w:style>
  <w:style w:type="paragraph" w:styleId="ListParagraph">
    <w:name w:val="List Paragraph"/>
    <w:aliases w:val="Nagłowek D"/>
    <w:basedOn w:val="Normal"/>
    <w:link w:val="ListParagraphChar"/>
    <w:uiPriority w:val="34"/>
    <w:qFormat/>
    <w:rsid w:val="00CC74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6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3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3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63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F0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35D"/>
  </w:style>
  <w:style w:type="paragraph" w:styleId="Footer">
    <w:name w:val="footer"/>
    <w:basedOn w:val="Normal"/>
    <w:link w:val="FooterChar"/>
    <w:uiPriority w:val="99"/>
    <w:semiHidden/>
    <w:unhideWhenUsed/>
    <w:rsid w:val="004F0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35D"/>
  </w:style>
  <w:style w:type="character" w:customStyle="1" w:styleId="Heading2Char">
    <w:name w:val="Heading 2 Char"/>
    <w:basedOn w:val="DefaultParagraphFont"/>
    <w:link w:val="Heading2"/>
    <w:uiPriority w:val="9"/>
    <w:rsid w:val="003D3A65"/>
    <w:rPr>
      <w:rFonts w:ascii="Calibri" w:eastAsia="Times New Roman" w:hAnsi="Calibri" w:cs="Arial"/>
      <w:caps/>
      <w:spacing w:val="15"/>
      <w:sz w:val="20"/>
      <w:szCs w:val="20"/>
      <w:shd w:val="clear" w:color="auto" w:fill="D4EAF3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BD5D9E"/>
    <w:rPr>
      <w:rFonts w:ascii="Calibri" w:eastAsia="Yu Mincho" w:hAnsi="Calibri" w:cs="Arial"/>
      <w:caps/>
      <w:color w:val="FFFFFF"/>
      <w:sz w:val="24"/>
      <w:szCs w:val="28"/>
      <w:shd w:val="clear" w:color="auto" w:fill="3494BA"/>
    </w:rPr>
  </w:style>
  <w:style w:type="character" w:customStyle="1" w:styleId="ListParagraphChar">
    <w:name w:val="List Paragraph Char"/>
    <w:aliases w:val="Nagłowek D Char"/>
    <w:basedOn w:val="DefaultParagraphFont"/>
    <w:link w:val="ListParagraph"/>
    <w:uiPriority w:val="34"/>
    <w:locked/>
    <w:rsid w:val="002373BD"/>
  </w:style>
  <w:style w:type="table" w:styleId="TableGrid">
    <w:name w:val="Table Grid"/>
    <w:basedOn w:val="TableNormal"/>
    <w:uiPriority w:val="39"/>
    <w:rsid w:val="0096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C0BC9"/>
    <w:rPr>
      <w:rFonts w:ascii="Calibri" w:eastAsia="Yu Mincho" w:hAnsi="Calibri" w:cs="Arial"/>
      <w:b/>
      <w:caps/>
      <w:color w:val="276E8B"/>
      <w:spacing w:val="10"/>
      <w:sz w:val="20"/>
      <w:szCs w:val="20"/>
      <w:shd w:val="clear" w:color="auto" w:fill="F2F2F2"/>
      <w:lang w:eastAsia="pl-PL"/>
    </w:rPr>
  </w:style>
  <w:style w:type="table" w:customStyle="1" w:styleId="TableGrid1">
    <w:name w:val="Table Grid1"/>
    <w:basedOn w:val="TableNormal"/>
    <w:next w:val="TableGrid"/>
    <w:uiPriority w:val="39"/>
    <w:rsid w:val="00EC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9C0AF3A2BEF4CB7CE574724D90167" ma:contentTypeVersion="10" ma:contentTypeDescription="Create a new document." ma:contentTypeScope="" ma:versionID="07a7d3a4d575b613a28441d51c1a60ba">
  <xsd:schema xmlns:xsd="http://www.w3.org/2001/XMLSchema" xmlns:xs="http://www.w3.org/2001/XMLSchema" xmlns:p="http://schemas.microsoft.com/office/2006/metadata/properties" xmlns:ns2="83b1b37b-683d-4c6a-9e03-9d54a1b2f24b" xmlns:ns3="151a8f53-66b3-4ce8-bbd0-635be27fa0cb" targetNamespace="http://schemas.microsoft.com/office/2006/metadata/properties" ma:root="true" ma:fieldsID="f2d6a16f1f1951692b7495a9b9e73983" ns2:_="" ns3:_="">
    <xsd:import namespace="83b1b37b-683d-4c6a-9e03-9d54a1b2f24b"/>
    <xsd:import namespace="151a8f53-66b3-4ce8-bbd0-635be27fa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b37b-683d-4c6a-9e03-9d54a1b2f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a8f53-66b3-4ce8-bbd0-635be27fa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15D17-66FB-4B0F-871D-C25DE798CCDB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83b1b37b-683d-4c6a-9e03-9d54a1b2f24b"/>
    <ds:schemaRef ds:uri="http://schemas.openxmlformats.org/package/2006/metadata/core-properties"/>
    <ds:schemaRef ds:uri="151a8f53-66b3-4ce8-bbd0-635be27fa0c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C84FBEA-156E-4939-983E-6A1CD06FF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71CFD-2CED-4781-B0C7-46594F2C4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b37b-683d-4c6a-9e03-9d54a1b2f24b"/>
    <ds:schemaRef ds:uri="151a8f53-66b3-4ce8-bbd0-635be27fa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64A744-9914-435F-A7A7-8FFB99BE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2091</Words>
  <Characters>12550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PZU SA</Company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tomasz.fedorowicz@ideabank.pl</dc:creator>
  <cp:lastModifiedBy>Lang, Julia Lea</cp:lastModifiedBy>
  <cp:revision>2</cp:revision>
  <dcterms:created xsi:type="dcterms:W3CDTF">2020-11-27T15:43:00Z</dcterms:created>
  <dcterms:modified xsi:type="dcterms:W3CDTF">2020-11-27T15:43:00Z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damianc@microsoft.com</vt:lpwstr>
  </property>
  <property fmtid="{D5CDD505-2E9C-101B-9397-08002B2CF9AE}" pid="5" name="MSIP_Label_f42aa342-8706-4288-bd11-ebb85995028c_SetDate">
    <vt:lpwstr>2018-06-12T17:11:38.0344474Z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ContentTypeId">
    <vt:lpwstr>0x0101005DB9C0AF3A2BEF4CB7CE574724D90167</vt:lpwstr>
  </property>
</Properties>
</file>